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E6B0" w14:textId="632082EB" w:rsidR="003E1C9F" w:rsidRDefault="003E1C9F" w:rsidP="003E1C9F">
      <w:pPr>
        <w:pStyle w:val="ListParagraph"/>
        <w:ind w:left="0"/>
      </w:pPr>
      <w:r w:rsidRPr="003E1C9F">
        <w:rPr>
          <w:rFonts w:ascii="Calibri" w:eastAsia="Times New Roman" w:hAnsi="Calibri" w:cs="Calibri"/>
          <w:b/>
          <w:bCs/>
          <w:sz w:val="28"/>
          <w:szCs w:val="28"/>
          <w:lang w:val="en-GB" w:eastAsia="en-GB"/>
        </w:rPr>
        <w:t>Age UK Barrow and District Volunteer Survey Results Report</w:t>
      </w:r>
    </w:p>
    <w:p w14:paraId="6D738C81" w14:textId="46FEC1FA" w:rsidR="003E1C9F" w:rsidRDefault="003E1C9F" w:rsidP="003E1C9F">
      <w:pPr>
        <w:pStyle w:val="ListParagraph"/>
        <w:ind w:left="0"/>
        <w:rPr>
          <w:rFonts w:ascii="Calibri" w:eastAsia="Times New Roman" w:hAnsi="Calibri" w:cs="Calibri"/>
          <w:b/>
          <w:bCs/>
          <w:lang w:val="en-GB" w:eastAsia="en-GB"/>
        </w:rPr>
      </w:pPr>
      <w:r w:rsidRPr="003E1C9F">
        <w:rPr>
          <w:rFonts w:ascii="Calibri" w:eastAsia="Times New Roman" w:hAnsi="Calibri" w:cs="Calibri"/>
          <w:b/>
          <w:bCs/>
          <w:lang w:val="en-GB" w:eastAsia="en-GB"/>
        </w:rPr>
        <w:t>Total number of respondents: 39</w:t>
      </w:r>
    </w:p>
    <w:p w14:paraId="3664656B" w14:textId="77777777" w:rsidR="003E1C9F" w:rsidRDefault="003E1C9F" w:rsidP="003E1C9F">
      <w:pPr>
        <w:pStyle w:val="ListParagraph"/>
        <w:ind w:left="0"/>
      </w:pPr>
    </w:p>
    <w:tbl>
      <w:tblPr>
        <w:tblW w:w="9520" w:type="dxa"/>
        <w:tblLook w:val="04A0" w:firstRow="1" w:lastRow="0" w:firstColumn="1" w:lastColumn="0" w:noHBand="0" w:noVBand="1"/>
      </w:tblPr>
      <w:tblGrid>
        <w:gridCol w:w="9520"/>
      </w:tblGrid>
      <w:tr w:rsidR="003E1C9F" w:rsidRPr="003E1C9F" w14:paraId="2DE40387" w14:textId="77777777" w:rsidTr="00D62B59">
        <w:trPr>
          <w:trHeight w:val="600"/>
        </w:trPr>
        <w:tc>
          <w:tcPr>
            <w:tcW w:w="9520" w:type="dxa"/>
            <w:tcBorders>
              <w:top w:val="nil"/>
              <w:left w:val="nil"/>
              <w:bottom w:val="nil"/>
              <w:right w:val="nil"/>
            </w:tcBorders>
            <w:shd w:val="clear" w:color="auto" w:fill="auto"/>
            <w:vAlign w:val="bottom"/>
            <w:hideMark/>
          </w:tcPr>
          <w:p w14:paraId="69DF12E0" w14:textId="77777777" w:rsidR="003E1C9F" w:rsidRPr="003E1C9F" w:rsidRDefault="003E1C9F" w:rsidP="00D62B59">
            <w:pPr>
              <w:rPr>
                <w:rFonts w:ascii="Calibri" w:eastAsia="Times New Roman" w:hAnsi="Calibri" w:cs="Calibri"/>
                <w:lang w:val="en-GB" w:eastAsia="en-GB"/>
              </w:rPr>
            </w:pPr>
            <w:r w:rsidRPr="003E1C9F">
              <w:rPr>
                <w:rFonts w:ascii="Calibri" w:eastAsia="Times New Roman" w:hAnsi="Calibri" w:cs="Calibri"/>
                <w:b/>
                <w:bCs/>
                <w:lang w:val="en-GB" w:eastAsia="en-GB"/>
              </w:rPr>
              <w:t>41%</w:t>
            </w:r>
            <w:r w:rsidRPr="003E1C9F">
              <w:rPr>
                <w:rFonts w:ascii="Calibri" w:eastAsia="Times New Roman" w:hAnsi="Calibri" w:cs="Calibri"/>
                <w:lang w:val="en-GB" w:eastAsia="en-GB"/>
              </w:rPr>
              <w:t xml:space="preserve"> of Volunteers who responded, felt involved in the decision making of the services that they volunteered for, with 28% not feeling involved and 28% who were not sure.</w:t>
            </w:r>
          </w:p>
        </w:tc>
      </w:tr>
      <w:tr w:rsidR="003E1C9F" w:rsidRPr="003E1C9F" w14:paraId="776BB12C" w14:textId="77777777" w:rsidTr="00D62B59">
        <w:trPr>
          <w:trHeight w:val="300"/>
        </w:trPr>
        <w:tc>
          <w:tcPr>
            <w:tcW w:w="9520" w:type="dxa"/>
            <w:tcBorders>
              <w:top w:val="nil"/>
              <w:left w:val="nil"/>
              <w:bottom w:val="nil"/>
              <w:right w:val="nil"/>
            </w:tcBorders>
            <w:shd w:val="clear" w:color="auto" w:fill="auto"/>
            <w:vAlign w:val="bottom"/>
            <w:hideMark/>
          </w:tcPr>
          <w:p w14:paraId="1F6817F4" w14:textId="77777777" w:rsidR="003E1C9F" w:rsidRPr="003E1C9F" w:rsidRDefault="003E1C9F" w:rsidP="00D62B59">
            <w:pPr>
              <w:rPr>
                <w:rFonts w:ascii="Calibri" w:eastAsia="Times New Roman" w:hAnsi="Calibri" w:cs="Calibri"/>
                <w:lang w:val="en-GB" w:eastAsia="en-GB"/>
              </w:rPr>
            </w:pPr>
            <w:r w:rsidRPr="003E1C9F">
              <w:rPr>
                <w:rFonts w:ascii="Calibri" w:eastAsia="Times New Roman" w:hAnsi="Calibri" w:cs="Calibri"/>
                <w:b/>
                <w:bCs/>
                <w:lang w:val="en-GB" w:eastAsia="en-GB"/>
              </w:rPr>
              <w:t xml:space="preserve">3% </w:t>
            </w:r>
            <w:r w:rsidRPr="003E1C9F">
              <w:rPr>
                <w:rFonts w:ascii="Calibri" w:eastAsia="Times New Roman" w:hAnsi="Calibri" w:cs="Calibri"/>
                <w:lang w:val="en-GB" w:eastAsia="en-GB"/>
              </w:rPr>
              <w:t>of respondents do not currently volunteer but would like to</w:t>
            </w:r>
          </w:p>
        </w:tc>
      </w:tr>
      <w:tr w:rsidR="003E1C9F" w:rsidRPr="003E1C9F" w14:paraId="2B795128" w14:textId="77777777" w:rsidTr="00D62B59">
        <w:trPr>
          <w:trHeight w:val="300"/>
        </w:trPr>
        <w:tc>
          <w:tcPr>
            <w:tcW w:w="9520" w:type="dxa"/>
            <w:tcBorders>
              <w:top w:val="nil"/>
              <w:left w:val="nil"/>
              <w:bottom w:val="nil"/>
              <w:right w:val="nil"/>
            </w:tcBorders>
            <w:shd w:val="clear" w:color="auto" w:fill="auto"/>
            <w:vAlign w:val="bottom"/>
            <w:hideMark/>
          </w:tcPr>
          <w:p w14:paraId="7978D466" w14:textId="77777777" w:rsidR="003E1C9F" w:rsidRPr="003E1C9F" w:rsidRDefault="003E1C9F" w:rsidP="00D62B59">
            <w:pPr>
              <w:rPr>
                <w:rFonts w:ascii="Calibri" w:eastAsia="Times New Roman" w:hAnsi="Calibri" w:cs="Calibri"/>
                <w:b/>
                <w:bCs/>
                <w:lang w:val="en-GB" w:eastAsia="en-GB"/>
              </w:rPr>
            </w:pPr>
            <w:r w:rsidRPr="003E1C9F">
              <w:rPr>
                <w:rFonts w:ascii="Calibri" w:eastAsia="Times New Roman" w:hAnsi="Calibri" w:cs="Calibri"/>
                <w:b/>
                <w:bCs/>
                <w:lang w:val="en-GB" w:eastAsia="en-GB"/>
              </w:rPr>
              <w:t xml:space="preserve">41% </w:t>
            </w:r>
            <w:r w:rsidRPr="003E1C9F">
              <w:rPr>
                <w:rFonts w:ascii="Calibri" w:eastAsia="Times New Roman" w:hAnsi="Calibri" w:cs="Calibri"/>
                <w:lang w:val="en-GB" w:eastAsia="en-GB"/>
              </w:rPr>
              <w:t>of those responding said they would like to be more involved with the design of the services</w:t>
            </w:r>
          </w:p>
        </w:tc>
      </w:tr>
      <w:tr w:rsidR="003E1C9F" w:rsidRPr="003E1C9F" w14:paraId="5AAA51E1" w14:textId="77777777" w:rsidTr="00D62B59">
        <w:trPr>
          <w:trHeight w:val="300"/>
        </w:trPr>
        <w:tc>
          <w:tcPr>
            <w:tcW w:w="9520" w:type="dxa"/>
            <w:tcBorders>
              <w:top w:val="nil"/>
              <w:left w:val="nil"/>
              <w:bottom w:val="nil"/>
              <w:right w:val="nil"/>
            </w:tcBorders>
            <w:shd w:val="clear" w:color="auto" w:fill="auto"/>
            <w:vAlign w:val="bottom"/>
            <w:hideMark/>
          </w:tcPr>
          <w:p w14:paraId="682B27FF" w14:textId="77777777" w:rsidR="003E1C9F" w:rsidRPr="003E1C9F" w:rsidRDefault="003E1C9F" w:rsidP="00D62B59">
            <w:pPr>
              <w:rPr>
                <w:rFonts w:ascii="Calibri" w:eastAsia="Times New Roman" w:hAnsi="Calibri" w:cs="Calibri"/>
                <w:lang w:val="en-GB" w:eastAsia="en-GB"/>
              </w:rPr>
            </w:pPr>
            <w:r w:rsidRPr="003E1C9F">
              <w:rPr>
                <w:rFonts w:ascii="Calibri" w:eastAsia="Times New Roman" w:hAnsi="Calibri" w:cs="Calibri"/>
                <w:b/>
                <w:bCs/>
                <w:lang w:val="en-GB" w:eastAsia="en-GB"/>
              </w:rPr>
              <w:t xml:space="preserve">67% </w:t>
            </w:r>
            <w:r w:rsidRPr="003E1C9F">
              <w:rPr>
                <w:rFonts w:ascii="Calibri" w:eastAsia="Times New Roman" w:hAnsi="Calibri" w:cs="Calibri"/>
                <w:lang w:val="en-GB" w:eastAsia="en-GB"/>
              </w:rPr>
              <w:t>of volunteers felt well supported by AUKB but 33% did not feel supported</w:t>
            </w:r>
          </w:p>
        </w:tc>
      </w:tr>
      <w:tr w:rsidR="003E1C9F" w:rsidRPr="003E1C9F" w14:paraId="41A9FEF9" w14:textId="77777777" w:rsidTr="00D62B59">
        <w:trPr>
          <w:trHeight w:val="600"/>
        </w:trPr>
        <w:tc>
          <w:tcPr>
            <w:tcW w:w="9520" w:type="dxa"/>
            <w:tcBorders>
              <w:top w:val="nil"/>
              <w:left w:val="nil"/>
              <w:bottom w:val="nil"/>
              <w:right w:val="nil"/>
            </w:tcBorders>
            <w:shd w:val="clear" w:color="auto" w:fill="auto"/>
            <w:vAlign w:val="bottom"/>
            <w:hideMark/>
          </w:tcPr>
          <w:p w14:paraId="53140253" w14:textId="77777777" w:rsidR="003E1C9F" w:rsidRPr="003E1C9F" w:rsidRDefault="003E1C9F" w:rsidP="00D62B59">
            <w:pPr>
              <w:rPr>
                <w:rFonts w:ascii="Calibri" w:eastAsia="Times New Roman" w:hAnsi="Calibri" w:cs="Calibri"/>
                <w:b/>
                <w:bCs/>
                <w:lang w:val="en-GB" w:eastAsia="en-GB"/>
              </w:rPr>
            </w:pPr>
            <w:r w:rsidRPr="003E1C9F">
              <w:rPr>
                <w:rFonts w:ascii="Calibri" w:eastAsia="Times New Roman" w:hAnsi="Calibri" w:cs="Calibri"/>
                <w:b/>
                <w:bCs/>
                <w:lang w:val="en-GB" w:eastAsia="en-GB"/>
              </w:rPr>
              <w:t>95%</w:t>
            </w:r>
            <w:r w:rsidRPr="003E1C9F">
              <w:rPr>
                <w:rFonts w:ascii="Calibri" w:eastAsia="Times New Roman" w:hAnsi="Calibri" w:cs="Calibri"/>
                <w:lang w:val="en-GB" w:eastAsia="en-GB"/>
              </w:rPr>
              <w:t xml:space="preserve"> of volunteers responding felt that it was important to have an AUKB presence in the local community</w:t>
            </w:r>
          </w:p>
        </w:tc>
      </w:tr>
      <w:tr w:rsidR="003E1C9F" w:rsidRPr="003E1C9F" w14:paraId="7D587EA0" w14:textId="77777777" w:rsidTr="00D62B59">
        <w:trPr>
          <w:trHeight w:val="600"/>
        </w:trPr>
        <w:tc>
          <w:tcPr>
            <w:tcW w:w="9520" w:type="dxa"/>
            <w:tcBorders>
              <w:top w:val="nil"/>
              <w:left w:val="nil"/>
              <w:bottom w:val="nil"/>
              <w:right w:val="nil"/>
            </w:tcBorders>
            <w:shd w:val="clear" w:color="auto" w:fill="auto"/>
            <w:vAlign w:val="bottom"/>
            <w:hideMark/>
          </w:tcPr>
          <w:p w14:paraId="31A7619C" w14:textId="77777777" w:rsidR="003E1C9F" w:rsidRPr="003E1C9F" w:rsidRDefault="003E1C9F" w:rsidP="00D62B59">
            <w:pPr>
              <w:rPr>
                <w:rFonts w:ascii="Calibri" w:eastAsia="Times New Roman" w:hAnsi="Calibri" w:cs="Calibri"/>
                <w:lang w:val="en-GB" w:eastAsia="en-GB"/>
              </w:rPr>
            </w:pPr>
            <w:r w:rsidRPr="003E1C9F">
              <w:rPr>
                <w:rFonts w:ascii="Calibri" w:eastAsia="Times New Roman" w:hAnsi="Calibri" w:cs="Calibri"/>
                <w:b/>
                <w:bCs/>
                <w:lang w:val="en-GB" w:eastAsia="en-GB"/>
              </w:rPr>
              <w:t xml:space="preserve">42% </w:t>
            </w:r>
            <w:r w:rsidRPr="003E1C9F">
              <w:rPr>
                <w:rFonts w:ascii="Calibri" w:eastAsia="Times New Roman" w:hAnsi="Calibri" w:cs="Calibri"/>
                <w:lang w:val="en-GB" w:eastAsia="en-GB"/>
              </w:rPr>
              <w:t>of respondents would be willing to engage over a virtual meeting platform (such as Zoom/Skype) or by telephone to be involved with the development of services going forward</w:t>
            </w:r>
          </w:p>
        </w:tc>
      </w:tr>
    </w:tbl>
    <w:p w14:paraId="08E4039C" w14:textId="77777777" w:rsidR="003E1C9F" w:rsidRDefault="003E1C9F" w:rsidP="003E1C9F">
      <w:pPr>
        <w:pStyle w:val="ListParagraph"/>
        <w:ind w:left="0"/>
      </w:pPr>
    </w:p>
    <w:p w14:paraId="19E8B1D6" w14:textId="2474CC51" w:rsidR="003E1C9F" w:rsidRDefault="003E1C9F" w:rsidP="003E1C9F">
      <w:pPr>
        <w:pStyle w:val="ListParagraph"/>
        <w:ind w:left="0"/>
        <w:rPr>
          <w:rFonts w:ascii="Calibri" w:eastAsia="Times New Roman" w:hAnsi="Calibri" w:cs="Calibri"/>
          <w:b/>
          <w:bCs/>
          <w:lang w:val="en-GB" w:eastAsia="en-GB"/>
        </w:rPr>
      </w:pPr>
      <w:r w:rsidRPr="003E1C9F">
        <w:rPr>
          <w:rFonts w:ascii="Calibri" w:eastAsia="Times New Roman" w:hAnsi="Calibri" w:cs="Calibri"/>
          <w:b/>
          <w:bCs/>
          <w:lang w:val="en-GB" w:eastAsia="en-GB"/>
        </w:rPr>
        <w:t>Respondents suggested the following things that AUKB could do to support older people in the area:-</w:t>
      </w:r>
    </w:p>
    <w:p w14:paraId="2FCF17C4" w14:textId="60B4CF3A" w:rsidR="003E1C9F" w:rsidRDefault="003E1C9F" w:rsidP="003E1C9F">
      <w:pPr>
        <w:pStyle w:val="ListParagraph"/>
        <w:ind w:left="0"/>
      </w:pPr>
    </w:p>
    <w:tbl>
      <w:tblPr>
        <w:tblW w:w="9520" w:type="dxa"/>
        <w:tblLook w:val="04A0" w:firstRow="1" w:lastRow="0" w:firstColumn="1" w:lastColumn="0" w:noHBand="0" w:noVBand="1"/>
      </w:tblPr>
      <w:tblGrid>
        <w:gridCol w:w="9520"/>
      </w:tblGrid>
      <w:tr w:rsidR="003E1C9F" w:rsidRPr="003E1C9F" w14:paraId="3D1BFFFD" w14:textId="77777777" w:rsidTr="00D62B59">
        <w:trPr>
          <w:trHeight w:val="300"/>
        </w:trPr>
        <w:tc>
          <w:tcPr>
            <w:tcW w:w="9520" w:type="dxa"/>
            <w:tcBorders>
              <w:top w:val="nil"/>
              <w:left w:val="nil"/>
              <w:bottom w:val="nil"/>
              <w:right w:val="nil"/>
            </w:tcBorders>
            <w:shd w:val="clear" w:color="auto" w:fill="auto"/>
            <w:noWrap/>
            <w:hideMark/>
          </w:tcPr>
          <w:p w14:paraId="437A1247" w14:textId="254659AD" w:rsidR="003E1C9F" w:rsidRPr="003E1C9F" w:rsidRDefault="003E1C9F" w:rsidP="00D62B59">
            <w:pPr>
              <w:rPr>
                <w:rFonts w:ascii="Calibri" w:eastAsia="Times New Roman" w:hAnsi="Calibri" w:cs="Calibri"/>
                <w:b/>
                <w:bCs/>
                <w:i/>
                <w:iCs/>
                <w:lang w:val="en-GB" w:eastAsia="en-GB"/>
              </w:rPr>
            </w:pPr>
            <w:r>
              <w:rPr>
                <w:rFonts w:ascii="Calibri" w:eastAsia="Times New Roman" w:hAnsi="Calibri" w:cs="Calibri"/>
                <w:b/>
                <w:bCs/>
                <w:i/>
                <w:iCs/>
                <w:lang w:val="en-GB" w:eastAsia="en-GB"/>
              </w:rPr>
              <w:t xml:space="preserve">      </w:t>
            </w:r>
            <w:r w:rsidRPr="003E1C9F">
              <w:rPr>
                <w:rFonts w:ascii="Calibri" w:eastAsia="Times New Roman" w:hAnsi="Calibri" w:cs="Calibri"/>
                <w:b/>
                <w:bCs/>
                <w:i/>
                <w:iCs/>
                <w:lang w:val="en-GB" w:eastAsia="en-GB"/>
              </w:rPr>
              <w:t>Categorised Responses:</w:t>
            </w:r>
          </w:p>
        </w:tc>
      </w:tr>
      <w:tr w:rsidR="003E1C9F" w:rsidRPr="003E1C9F" w14:paraId="6E48F438" w14:textId="77777777" w:rsidTr="00D62B59">
        <w:trPr>
          <w:trHeight w:val="300"/>
        </w:trPr>
        <w:tc>
          <w:tcPr>
            <w:tcW w:w="9520" w:type="dxa"/>
            <w:tcBorders>
              <w:top w:val="nil"/>
              <w:left w:val="nil"/>
              <w:bottom w:val="nil"/>
              <w:right w:val="nil"/>
            </w:tcBorders>
            <w:shd w:val="clear" w:color="auto" w:fill="auto"/>
            <w:noWrap/>
            <w:hideMark/>
          </w:tcPr>
          <w:p w14:paraId="763870B6"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Befriending (Telephone/House Calls/Companionship)</w:t>
            </w:r>
          </w:p>
        </w:tc>
      </w:tr>
      <w:tr w:rsidR="003E1C9F" w:rsidRPr="003E1C9F" w14:paraId="1C75C844" w14:textId="77777777" w:rsidTr="00D62B59">
        <w:trPr>
          <w:trHeight w:val="300"/>
        </w:trPr>
        <w:tc>
          <w:tcPr>
            <w:tcW w:w="9520" w:type="dxa"/>
            <w:tcBorders>
              <w:top w:val="nil"/>
              <w:left w:val="nil"/>
              <w:bottom w:val="nil"/>
              <w:right w:val="nil"/>
            </w:tcBorders>
            <w:shd w:val="clear" w:color="auto" w:fill="auto"/>
            <w:noWrap/>
            <w:hideMark/>
          </w:tcPr>
          <w:p w14:paraId="7FCDFD27"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Lunches during day-time activities</w:t>
            </w:r>
          </w:p>
        </w:tc>
      </w:tr>
      <w:tr w:rsidR="003E1C9F" w:rsidRPr="003E1C9F" w14:paraId="603E7146" w14:textId="77777777" w:rsidTr="00D62B59">
        <w:trPr>
          <w:trHeight w:val="300"/>
        </w:trPr>
        <w:tc>
          <w:tcPr>
            <w:tcW w:w="9520" w:type="dxa"/>
            <w:tcBorders>
              <w:top w:val="nil"/>
              <w:left w:val="nil"/>
              <w:bottom w:val="nil"/>
              <w:right w:val="nil"/>
            </w:tcBorders>
            <w:shd w:val="clear" w:color="auto" w:fill="auto"/>
            <w:noWrap/>
            <w:hideMark/>
          </w:tcPr>
          <w:p w14:paraId="6D909F5C"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Transport (to/from activities)</w:t>
            </w:r>
          </w:p>
        </w:tc>
      </w:tr>
      <w:tr w:rsidR="003E1C9F" w:rsidRPr="003E1C9F" w14:paraId="65C3DC25" w14:textId="77777777" w:rsidTr="00D62B59">
        <w:trPr>
          <w:trHeight w:val="300"/>
        </w:trPr>
        <w:tc>
          <w:tcPr>
            <w:tcW w:w="9520" w:type="dxa"/>
            <w:tcBorders>
              <w:top w:val="nil"/>
              <w:left w:val="nil"/>
              <w:bottom w:val="nil"/>
              <w:right w:val="nil"/>
            </w:tcBorders>
            <w:shd w:val="clear" w:color="auto" w:fill="auto"/>
            <w:noWrap/>
            <w:hideMark/>
          </w:tcPr>
          <w:p w14:paraId="568C7726"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Friendship Club (Chat, Tea &amp; Biscuits) / Community group engagement (e.g. Schools)</w:t>
            </w:r>
          </w:p>
        </w:tc>
      </w:tr>
      <w:tr w:rsidR="003E1C9F" w:rsidRPr="003E1C9F" w14:paraId="553F0C0B" w14:textId="77777777" w:rsidTr="00D62B59">
        <w:trPr>
          <w:trHeight w:val="300"/>
        </w:trPr>
        <w:tc>
          <w:tcPr>
            <w:tcW w:w="9520" w:type="dxa"/>
            <w:tcBorders>
              <w:top w:val="nil"/>
              <w:left w:val="nil"/>
              <w:bottom w:val="nil"/>
              <w:right w:val="nil"/>
            </w:tcBorders>
            <w:shd w:val="clear" w:color="auto" w:fill="auto"/>
            <w:noWrap/>
            <w:hideMark/>
          </w:tcPr>
          <w:p w14:paraId="25E17480"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Publicity events (Incl. engaging with other local action groups)</w:t>
            </w:r>
          </w:p>
        </w:tc>
      </w:tr>
      <w:tr w:rsidR="003E1C9F" w:rsidRPr="003E1C9F" w14:paraId="0787514F" w14:textId="77777777" w:rsidTr="00D62B59">
        <w:trPr>
          <w:trHeight w:val="300"/>
        </w:trPr>
        <w:tc>
          <w:tcPr>
            <w:tcW w:w="9520" w:type="dxa"/>
            <w:tcBorders>
              <w:top w:val="nil"/>
              <w:left w:val="nil"/>
              <w:bottom w:val="nil"/>
              <w:right w:val="nil"/>
            </w:tcBorders>
            <w:shd w:val="clear" w:color="auto" w:fill="auto"/>
            <w:noWrap/>
            <w:hideMark/>
          </w:tcPr>
          <w:p w14:paraId="6EBDEF04"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Practical Education opportunities (to learn new skills or enhance existing ones)</w:t>
            </w:r>
          </w:p>
        </w:tc>
      </w:tr>
      <w:tr w:rsidR="003E1C9F" w:rsidRPr="003E1C9F" w14:paraId="5959AA6E" w14:textId="77777777" w:rsidTr="00D62B59">
        <w:trPr>
          <w:trHeight w:val="300"/>
        </w:trPr>
        <w:tc>
          <w:tcPr>
            <w:tcW w:w="9520" w:type="dxa"/>
            <w:tcBorders>
              <w:top w:val="nil"/>
              <w:left w:val="nil"/>
              <w:bottom w:val="nil"/>
              <w:right w:val="nil"/>
            </w:tcBorders>
            <w:shd w:val="clear" w:color="auto" w:fill="auto"/>
            <w:noWrap/>
            <w:hideMark/>
          </w:tcPr>
          <w:p w14:paraId="6D470A0E"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Recruitment of Volunteers with appropriate skills</w:t>
            </w:r>
          </w:p>
        </w:tc>
      </w:tr>
      <w:tr w:rsidR="003E1C9F" w:rsidRPr="003E1C9F" w14:paraId="7EE6EA50" w14:textId="77777777" w:rsidTr="00D62B59">
        <w:trPr>
          <w:trHeight w:val="300"/>
        </w:trPr>
        <w:tc>
          <w:tcPr>
            <w:tcW w:w="9520" w:type="dxa"/>
            <w:tcBorders>
              <w:top w:val="nil"/>
              <w:left w:val="nil"/>
              <w:bottom w:val="nil"/>
              <w:right w:val="nil"/>
            </w:tcBorders>
            <w:shd w:val="clear" w:color="auto" w:fill="auto"/>
            <w:noWrap/>
            <w:hideMark/>
          </w:tcPr>
          <w:p w14:paraId="5FEC14CD"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Recruitment of Volunteer Mentors</w:t>
            </w:r>
          </w:p>
        </w:tc>
      </w:tr>
      <w:tr w:rsidR="003E1C9F" w:rsidRPr="003E1C9F" w14:paraId="5E6C5291" w14:textId="77777777" w:rsidTr="00D62B59">
        <w:trPr>
          <w:trHeight w:val="300"/>
        </w:trPr>
        <w:tc>
          <w:tcPr>
            <w:tcW w:w="9520" w:type="dxa"/>
            <w:tcBorders>
              <w:top w:val="nil"/>
              <w:left w:val="nil"/>
              <w:bottom w:val="nil"/>
              <w:right w:val="nil"/>
            </w:tcBorders>
            <w:shd w:val="clear" w:color="auto" w:fill="auto"/>
            <w:noWrap/>
            <w:hideMark/>
          </w:tcPr>
          <w:p w14:paraId="7BB80A33"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Recognition of Volunteer contributions (irrelevent of contribution level)</w:t>
            </w:r>
          </w:p>
        </w:tc>
      </w:tr>
      <w:tr w:rsidR="003E1C9F" w:rsidRPr="003E1C9F" w14:paraId="650D5F4B" w14:textId="77777777" w:rsidTr="00D62B59">
        <w:trPr>
          <w:trHeight w:val="300"/>
        </w:trPr>
        <w:tc>
          <w:tcPr>
            <w:tcW w:w="9520" w:type="dxa"/>
            <w:tcBorders>
              <w:top w:val="nil"/>
              <w:left w:val="nil"/>
              <w:bottom w:val="nil"/>
              <w:right w:val="nil"/>
            </w:tcBorders>
            <w:shd w:val="clear" w:color="auto" w:fill="auto"/>
            <w:noWrap/>
            <w:hideMark/>
          </w:tcPr>
          <w:p w14:paraId="7CA8713E" w14:textId="77777777" w:rsidR="003E1C9F" w:rsidRPr="003E1C9F" w:rsidRDefault="003E1C9F" w:rsidP="003E1C9F">
            <w:pPr>
              <w:pStyle w:val="ListParagraph"/>
              <w:numPr>
                <w:ilvl w:val="0"/>
                <w:numId w:val="3"/>
              </w:numPr>
              <w:rPr>
                <w:rFonts w:ascii="Calibri" w:eastAsia="Times New Roman" w:hAnsi="Calibri" w:cs="Calibri"/>
                <w:lang w:val="en-GB" w:eastAsia="en-GB"/>
              </w:rPr>
            </w:pPr>
            <w:r w:rsidRPr="003E1C9F">
              <w:rPr>
                <w:rFonts w:ascii="Calibri" w:eastAsia="Times New Roman" w:hAnsi="Calibri" w:cs="Calibri"/>
                <w:lang w:val="en-GB" w:eastAsia="en-GB"/>
              </w:rPr>
              <w:t>Reduce costs of Handyperson service</w:t>
            </w:r>
          </w:p>
        </w:tc>
      </w:tr>
    </w:tbl>
    <w:p w14:paraId="1EA086DF" w14:textId="77777777" w:rsidR="003E1C9F" w:rsidRDefault="003E1C9F" w:rsidP="003E1C9F">
      <w:pPr>
        <w:pStyle w:val="ListParagraph"/>
        <w:ind w:left="0"/>
        <w:rPr>
          <w:rFonts w:ascii="Calibri" w:eastAsia="Times New Roman" w:hAnsi="Calibri" w:cs="Calibri"/>
          <w:lang w:val="en-GB" w:eastAsia="en-GB"/>
        </w:rPr>
      </w:pPr>
    </w:p>
    <w:p w14:paraId="6ECBB842" w14:textId="4D0D9F2E" w:rsidR="003E1C9F" w:rsidRDefault="003E1C9F" w:rsidP="003E1C9F">
      <w:pPr>
        <w:pStyle w:val="ListParagraph"/>
        <w:ind w:left="0"/>
        <w:rPr>
          <w:rFonts w:ascii="Calibri" w:eastAsia="Times New Roman" w:hAnsi="Calibri" w:cs="Calibri"/>
          <w:lang w:val="en-GB" w:eastAsia="en-GB"/>
        </w:rPr>
      </w:pPr>
      <w:r w:rsidRPr="003E1C9F">
        <w:rPr>
          <w:rFonts w:ascii="Calibri" w:eastAsia="Times New Roman" w:hAnsi="Calibri" w:cs="Calibri"/>
          <w:lang w:val="en-GB" w:eastAsia="en-GB"/>
        </w:rPr>
        <w:t>It is clear that the majority of Volunteers, engaging with AUKB, felt well supported and feel it is important to maintain a presence within the local community.  It is likely to prove beneficial to hold some local publicity events, perhaps engaging with other local action groups, to attract Volunteers with skillsets and knowledge to support the future service delivery.  It is also important to offer opportunities to formally recognise the contributions of volunteers, as well as providing mentorship for those people who are new to volunteering.</w:t>
      </w:r>
    </w:p>
    <w:p w14:paraId="28B0DF77" w14:textId="77777777" w:rsidR="003E1C9F" w:rsidRDefault="003E1C9F" w:rsidP="003E1C9F">
      <w:pPr>
        <w:pStyle w:val="ListParagraph"/>
        <w:ind w:left="0"/>
      </w:pPr>
    </w:p>
    <w:p w14:paraId="0563FE53" w14:textId="71C20FC4" w:rsidR="003E1C9F" w:rsidRDefault="003E1C9F" w:rsidP="003E1C9F">
      <w:pPr>
        <w:pStyle w:val="ListParagraph"/>
        <w:ind w:left="0"/>
        <w:rPr>
          <w:rFonts w:ascii="Calibri" w:eastAsia="Times New Roman" w:hAnsi="Calibri" w:cs="Calibri"/>
          <w:lang w:val="en-GB" w:eastAsia="en-GB"/>
        </w:rPr>
      </w:pPr>
      <w:r w:rsidRPr="003E1C9F">
        <w:rPr>
          <w:rFonts w:ascii="Calibri" w:eastAsia="Times New Roman" w:hAnsi="Calibri" w:cs="Calibri"/>
          <w:lang w:val="en-GB" w:eastAsia="en-GB"/>
        </w:rPr>
        <w:t>Volunteers proposed that the most helpful services would be those that reduced isolation and loneliness, such as a telephone befriending service and house calls/companionship.  There was also a suggestion of a Friendship Club (Chat, Tea &amp; Biscuits) and engagement with local schools to provide opportunities for school children (an activity which has been reported as being effecive in combatting loneliness).  Studies suggest that activities such as this provide the following benefits:-</w:t>
      </w:r>
    </w:p>
    <w:p w14:paraId="3CE3CA8A" w14:textId="77777777" w:rsidR="003E1C9F" w:rsidRDefault="003E1C9F" w:rsidP="003E1C9F">
      <w:pPr>
        <w:pStyle w:val="ListParagraph"/>
        <w:ind w:left="0"/>
        <w:rPr>
          <w:rFonts w:ascii="Calibri" w:eastAsia="Times New Roman" w:hAnsi="Calibri" w:cs="Calibri"/>
          <w:lang w:val="en-GB" w:eastAsia="en-GB"/>
        </w:rPr>
      </w:pPr>
    </w:p>
    <w:p w14:paraId="780669E2" w14:textId="1FAD3AC8" w:rsidR="003E1C9F" w:rsidRPr="003E1C9F" w:rsidRDefault="003E1C9F" w:rsidP="003E1C9F">
      <w:pPr>
        <w:pStyle w:val="ListParagraph"/>
        <w:numPr>
          <w:ilvl w:val="0"/>
          <w:numId w:val="2"/>
        </w:numPr>
      </w:pPr>
      <w:r w:rsidRPr="003E1C9F">
        <w:rPr>
          <w:rFonts w:ascii="Calibri" w:eastAsia="Times New Roman" w:hAnsi="Calibri" w:cs="Calibri"/>
          <w:lang w:val="en-GB" w:eastAsia="en-GB"/>
        </w:rPr>
        <w:t>Energize older adults and give a sense of purpose, especially when they</w:t>
      </w:r>
      <w:r w:rsidR="00CA6500">
        <w:rPr>
          <w:rFonts w:ascii="Calibri" w:eastAsia="Times New Roman" w:hAnsi="Calibri" w:cs="Calibri"/>
          <w:lang w:val="en-GB" w:eastAsia="en-GB"/>
        </w:rPr>
        <w:t xml:space="preserve"> a</w:t>
      </w:r>
      <w:r w:rsidRPr="003E1C9F">
        <w:rPr>
          <w:rFonts w:ascii="Calibri" w:eastAsia="Times New Roman" w:hAnsi="Calibri" w:cs="Calibri"/>
          <w:lang w:val="en-GB" w:eastAsia="en-GB"/>
        </w:rPr>
        <w:t>re sharing their experience and skills</w:t>
      </w:r>
    </w:p>
    <w:p w14:paraId="7893CC02" w14:textId="77777777" w:rsidR="003E1C9F" w:rsidRDefault="003E1C9F" w:rsidP="003E1C9F">
      <w:pPr>
        <w:pStyle w:val="ListParagraph"/>
        <w:numPr>
          <w:ilvl w:val="0"/>
          <w:numId w:val="2"/>
        </w:numPr>
      </w:pPr>
      <w:r w:rsidRPr="003E1C9F">
        <w:rPr>
          <w:rFonts w:ascii="Calibri" w:eastAsia="Times New Roman" w:hAnsi="Calibri" w:cs="Calibri"/>
          <w:lang w:val="en-GB" w:eastAsia="en-GB"/>
        </w:rPr>
        <w:t>Reduces a sense of isolation for older adults and potentially relieves or lessens depression</w:t>
      </w:r>
    </w:p>
    <w:p w14:paraId="011877BB" w14:textId="77777777" w:rsidR="003E1C9F" w:rsidRPr="003E1C9F" w:rsidRDefault="003E1C9F" w:rsidP="003E1C9F">
      <w:pPr>
        <w:pStyle w:val="ListParagraph"/>
        <w:numPr>
          <w:ilvl w:val="0"/>
          <w:numId w:val="2"/>
        </w:numPr>
      </w:pPr>
      <w:r w:rsidRPr="003E1C9F">
        <w:rPr>
          <w:rFonts w:ascii="Calibri" w:eastAsia="Times New Roman" w:hAnsi="Calibri" w:cs="Calibri"/>
          <w:lang w:val="en-GB" w:eastAsia="en-GB"/>
        </w:rPr>
        <w:t>All generations learn new skills</w:t>
      </w:r>
    </w:p>
    <w:p w14:paraId="43A7238A" w14:textId="6D93ED48" w:rsidR="00363E54" w:rsidRPr="003E1C9F" w:rsidRDefault="003E1C9F" w:rsidP="003E1C9F">
      <w:pPr>
        <w:pStyle w:val="ListParagraph"/>
        <w:numPr>
          <w:ilvl w:val="0"/>
          <w:numId w:val="2"/>
        </w:numPr>
      </w:pPr>
      <w:r w:rsidRPr="003E1C9F">
        <w:rPr>
          <w:rFonts w:ascii="Calibri" w:eastAsia="Times New Roman" w:hAnsi="Calibri" w:cs="Calibri"/>
          <w:lang w:val="en-GB" w:eastAsia="en-GB"/>
        </w:rPr>
        <w:t>Helps younger generations understand aging and face their own more positively</w:t>
      </w:r>
    </w:p>
    <w:p w14:paraId="5F02E77A" w14:textId="0D772B22" w:rsidR="003E1C9F" w:rsidRDefault="003E1C9F" w:rsidP="003E1C9F">
      <w:pPr>
        <w:pStyle w:val="ListParagraph"/>
        <w:ind w:left="0"/>
        <w:rPr>
          <w:rFonts w:ascii="Calibri" w:eastAsia="Times New Roman" w:hAnsi="Calibri" w:cs="Calibri"/>
          <w:lang w:val="en-GB" w:eastAsia="en-GB"/>
        </w:rPr>
      </w:pPr>
    </w:p>
    <w:p w14:paraId="2FBE7BD6" w14:textId="53B4D43C" w:rsidR="003E1C9F" w:rsidRDefault="003E1C9F" w:rsidP="003E1C9F">
      <w:pPr>
        <w:pStyle w:val="ListParagraph"/>
        <w:ind w:left="0"/>
        <w:rPr>
          <w:b/>
          <w:bCs/>
        </w:rPr>
      </w:pPr>
      <w:r>
        <w:rPr>
          <w:b/>
          <w:bCs/>
        </w:rPr>
        <w:t>Beverley Nicholson</w:t>
      </w:r>
    </w:p>
    <w:p w14:paraId="5B3EE9DF" w14:textId="7E5612F1" w:rsidR="00CA6500" w:rsidRDefault="00CA6500" w:rsidP="003E1C9F">
      <w:pPr>
        <w:pStyle w:val="ListParagraph"/>
        <w:ind w:left="0"/>
        <w:rPr>
          <w:b/>
          <w:bCs/>
        </w:rPr>
      </w:pPr>
      <w:r>
        <w:rPr>
          <w:b/>
          <w:bCs/>
        </w:rPr>
        <w:t>Transformation Project Manager</w:t>
      </w:r>
    </w:p>
    <w:p w14:paraId="20C86FDC" w14:textId="79226E68" w:rsidR="003E1C9F" w:rsidRPr="003E1C9F" w:rsidRDefault="003E1C9F" w:rsidP="003E1C9F">
      <w:pPr>
        <w:pStyle w:val="ListParagraph"/>
        <w:ind w:left="0"/>
        <w:rPr>
          <w:b/>
          <w:bCs/>
        </w:rPr>
      </w:pPr>
      <w:r>
        <w:rPr>
          <w:b/>
          <w:bCs/>
        </w:rPr>
        <w:t>16</w:t>
      </w:r>
      <w:r w:rsidRPr="003E1C9F">
        <w:rPr>
          <w:b/>
          <w:bCs/>
          <w:vertAlign w:val="superscript"/>
        </w:rPr>
        <w:t>th</w:t>
      </w:r>
      <w:r>
        <w:rPr>
          <w:b/>
          <w:bCs/>
        </w:rPr>
        <w:t xml:space="preserve"> July 2020</w:t>
      </w:r>
    </w:p>
    <w:sectPr w:rsidR="003E1C9F" w:rsidRPr="003E1C9F" w:rsidSect="003E1C9F">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6038"/>
    <w:multiLevelType w:val="hybridMultilevel"/>
    <w:tmpl w:val="43C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F2F"/>
    <w:multiLevelType w:val="hybridMultilevel"/>
    <w:tmpl w:val="7E7E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12A6E"/>
    <w:multiLevelType w:val="hybridMultilevel"/>
    <w:tmpl w:val="E5B8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9F"/>
    <w:rsid w:val="003E1C9F"/>
    <w:rsid w:val="00415B47"/>
    <w:rsid w:val="004B3E84"/>
    <w:rsid w:val="0057020D"/>
    <w:rsid w:val="00667FE6"/>
    <w:rsid w:val="00724818"/>
    <w:rsid w:val="00751EA3"/>
    <w:rsid w:val="00840A57"/>
    <w:rsid w:val="00AA07C1"/>
    <w:rsid w:val="00AB7621"/>
    <w:rsid w:val="00C95517"/>
    <w:rsid w:val="00CA6500"/>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13F5"/>
  <w15:chartTrackingRefBased/>
  <w15:docId w15:val="{60F40DFB-D6A9-46B2-B95B-2173B7EB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2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Beverley Nicholson</cp:lastModifiedBy>
  <cp:revision>2</cp:revision>
  <dcterms:created xsi:type="dcterms:W3CDTF">2020-07-16T15:58:00Z</dcterms:created>
  <dcterms:modified xsi:type="dcterms:W3CDTF">2020-07-16T16:09:00Z</dcterms:modified>
</cp:coreProperties>
</file>