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30EE" w14:textId="0BCCBA7B" w:rsidR="00615FDA" w:rsidRDefault="00615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C1DA917" wp14:editId="207A3840">
            <wp:extent cx="2072640" cy="1103630"/>
            <wp:effectExtent l="0" t="0" r="0" b="0"/>
            <wp:docPr id="1281434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EF76F" w14:textId="0D13CB6A" w:rsidR="000A44AA" w:rsidRPr="00482D35" w:rsidRDefault="00482D35">
      <w:pPr>
        <w:rPr>
          <w:rFonts w:ascii="Arial" w:hAnsi="Arial" w:cs="Arial"/>
          <w:b/>
          <w:bCs/>
        </w:rPr>
      </w:pPr>
      <w:r w:rsidRPr="00482D35">
        <w:rPr>
          <w:rFonts w:ascii="Arial" w:hAnsi="Arial" w:cs="Arial"/>
          <w:b/>
          <w:bCs/>
        </w:rPr>
        <w:t xml:space="preserve">Age UK Enfield – Trustee: HR </w:t>
      </w:r>
      <w:r>
        <w:rPr>
          <w:rFonts w:ascii="Arial" w:hAnsi="Arial" w:cs="Arial"/>
          <w:b/>
          <w:bCs/>
        </w:rPr>
        <w:t>specialist: Job description &amp; person specification</w:t>
      </w:r>
    </w:p>
    <w:p w14:paraId="6F576F61" w14:textId="7982E5DC" w:rsidR="00482D35" w:rsidRDefault="00482D35" w:rsidP="00482D35">
      <w:pPr>
        <w:rPr>
          <w:rFonts w:ascii="Arial" w:hAnsi="Arial" w:cs="Arial"/>
        </w:rPr>
      </w:pPr>
      <w:r w:rsidRPr="00482D35">
        <w:rPr>
          <w:rFonts w:ascii="Arial" w:hAnsi="Arial" w:cs="Arial"/>
          <w:b/>
          <w:bCs/>
        </w:rPr>
        <w:t xml:space="preserve">Trustee: HR Specialist - </w:t>
      </w:r>
      <w:r w:rsidR="0023400A">
        <w:rPr>
          <w:rFonts w:ascii="Arial" w:hAnsi="Arial" w:cs="Arial"/>
          <w:b/>
          <w:bCs/>
        </w:rPr>
        <w:t>R</w:t>
      </w:r>
      <w:r w:rsidRPr="00482D35">
        <w:rPr>
          <w:rFonts w:ascii="Arial" w:hAnsi="Arial" w:cs="Arial"/>
          <w:b/>
          <w:bCs/>
        </w:rPr>
        <w:t>ole summary</w:t>
      </w:r>
      <w:r>
        <w:rPr>
          <w:rFonts w:ascii="Arial" w:hAnsi="Arial" w:cs="Arial"/>
        </w:rPr>
        <w:t xml:space="preserve"> </w:t>
      </w:r>
    </w:p>
    <w:p w14:paraId="12DA05FF" w14:textId="0BC5FB35" w:rsidR="00B45EC9" w:rsidRPr="00482D35" w:rsidRDefault="00482D35" w:rsidP="00B45EC9">
      <w:pPr>
        <w:rPr>
          <w:rFonts w:ascii="Arial" w:hAnsi="Arial" w:cs="Arial"/>
        </w:rPr>
      </w:pPr>
      <w:r>
        <w:rPr>
          <w:rFonts w:ascii="Arial" w:hAnsi="Arial" w:cs="Arial"/>
        </w:rPr>
        <w:t>In addition to the general Trustee duties and responsibilities outlined above, t</w:t>
      </w:r>
      <w:r w:rsidRPr="00482D35">
        <w:rPr>
          <w:rFonts w:ascii="Arial" w:hAnsi="Arial" w:cs="Arial"/>
        </w:rPr>
        <w:t xml:space="preserve">he trustee with HR specialism will </w:t>
      </w:r>
      <w:r w:rsidR="00B45EC9" w:rsidRPr="00482D35">
        <w:rPr>
          <w:rFonts w:ascii="Arial" w:hAnsi="Arial" w:cs="Arial"/>
        </w:rPr>
        <w:t xml:space="preserve">need to have senior management </w:t>
      </w:r>
      <w:r w:rsidR="00B45EC9" w:rsidRPr="00FA77BB">
        <w:rPr>
          <w:rFonts w:ascii="Arial" w:hAnsi="Arial" w:cs="Arial"/>
        </w:rPr>
        <w:t xml:space="preserve">and leadership </w:t>
      </w:r>
      <w:r w:rsidR="00B45EC9" w:rsidRPr="00482D35">
        <w:rPr>
          <w:rFonts w:ascii="Arial" w:hAnsi="Arial" w:cs="Arial"/>
        </w:rPr>
        <w:t xml:space="preserve">experience of human resource and talent management as well as leading related projects.  </w:t>
      </w:r>
    </w:p>
    <w:p w14:paraId="4DB8076C" w14:textId="77777777" w:rsidR="000245E5" w:rsidRPr="00482D35" w:rsidRDefault="000245E5" w:rsidP="000245E5">
      <w:pPr>
        <w:rPr>
          <w:rFonts w:ascii="Arial" w:hAnsi="Arial" w:cs="Arial"/>
        </w:rPr>
      </w:pPr>
      <w:r>
        <w:rPr>
          <w:rFonts w:ascii="Arial" w:hAnsi="Arial" w:cs="Arial"/>
        </w:rPr>
        <w:t>Age UKE employs an HR Advisor and has a contract with an HR consultancy.  Support provided includes legal and regulatory advice.</w:t>
      </w:r>
    </w:p>
    <w:p w14:paraId="0858DE2B" w14:textId="2C66D590" w:rsidR="00482D35" w:rsidRPr="00482D35" w:rsidRDefault="00B45EC9" w:rsidP="00482D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will </w:t>
      </w:r>
      <w:r w:rsidR="00482D35" w:rsidRPr="00482D35">
        <w:rPr>
          <w:rFonts w:ascii="Arial" w:hAnsi="Arial" w:cs="Arial"/>
        </w:rPr>
        <w:t>join</w:t>
      </w:r>
      <w:r w:rsidR="00482D35">
        <w:rPr>
          <w:rFonts w:ascii="Arial" w:hAnsi="Arial" w:cs="Arial"/>
        </w:rPr>
        <w:t xml:space="preserve"> </w:t>
      </w:r>
      <w:r w:rsidR="00482D35" w:rsidRPr="00482D35">
        <w:rPr>
          <w:rFonts w:ascii="Arial" w:hAnsi="Arial" w:cs="Arial"/>
        </w:rPr>
        <w:t xml:space="preserve">the </w:t>
      </w:r>
      <w:r w:rsidRPr="00FA77BB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</w:t>
      </w:r>
      <w:r w:rsidR="00482D35" w:rsidRPr="00482D35">
        <w:rPr>
          <w:rFonts w:ascii="Arial" w:hAnsi="Arial" w:cs="Arial"/>
        </w:rPr>
        <w:t xml:space="preserve">People and Culture Sub Committee with the aim of chairing the sub-committee. The role will </w:t>
      </w:r>
      <w:r w:rsidR="008934D2">
        <w:rPr>
          <w:rFonts w:ascii="Arial" w:hAnsi="Arial" w:cs="Arial"/>
        </w:rPr>
        <w:t xml:space="preserve">also </w:t>
      </w:r>
      <w:r w:rsidR="00482D35" w:rsidRPr="00482D35">
        <w:rPr>
          <w:rFonts w:ascii="Arial" w:hAnsi="Arial" w:cs="Arial"/>
        </w:rPr>
        <w:t>focus on providing advice and guidance to</w:t>
      </w:r>
      <w:r w:rsidR="00482D35">
        <w:rPr>
          <w:rFonts w:ascii="Arial" w:hAnsi="Arial" w:cs="Arial"/>
        </w:rPr>
        <w:t>:</w:t>
      </w:r>
    </w:p>
    <w:p w14:paraId="37DD1437" w14:textId="018F4B73" w:rsidR="00A1778F" w:rsidRPr="00FA77BB" w:rsidRDefault="00B45EC9" w:rsidP="00B45EC9">
      <w:pPr>
        <w:numPr>
          <w:ilvl w:val="0"/>
          <w:numId w:val="1"/>
        </w:numPr>
        <w:rPr>
          <w:rFonts w:ascii="Arial" w:hAnsi="Arial" w:cs="Arial"/>
        </w:rPr>
      </w:pPr>
      <w:r w:rsidRPr="00482D35">
        <w:rPr>
          <w:rFonts w:ascii="Arial" w:hAnsi="Arial" w:cs="Arial"/>
        </w:rPr>
        <w:t>the CEO</w:t>
      </w:r>
      <w:r w:rsidRPr="00B45EC9">
        <w:rPr>
          <w:rFonts w:ascii="Arial" w:hAnsi="Arial" w:cs="Arial"/>
        </w:rPr>
        <w:t>,</w:t>
      </w:r>
      <w:r w:rsidRPr="00482D35">
        <w:rPr>
          <w:rFonts w:ascii="Arial" w:hAnsi="Arial" w:cs="Arial"/>
        </w:rPr>
        <w:t xml:space="preserve"> </w:t>
      </w:r>
      <w:r w:rsidRPr="00FA77BB">
        <w:rPr>
          <w:rFonts w:ascii="Arial" w:hAnsi="Arial" w:cs="Arial"/>
        </w:rPr>
        <w:t xml:space="preserve">the </w:t>
      </w:r>
      <w:r w:rsidR="0023400A" w:rsidRPr="00FA77BB">
        <w:rPr>
          <w:rFonts w:ascii="Arial" w:hAnsi="Arial" w:cs="Arial"/>
        </w:rPr>
        <w:t xml:space="preserve">Chair and </w:t>
      </w:r>
      <w:r w:rsidRPr="00FA77BB">
        <w:rPr>
          <w:rFonts w:ascii="Arial" w:hAnsi="Arial" w:cs="Arial"/>
        </w:rPr>
        <w:t>Board of Trustees</w:t>
      </w:r>
      <w:r w:rsidR="00304D84" w:rsidRPr="00FA77BB">
        <w:rPr>
          <w:rFonts w:ascii="Arial" w:hAnsi="Arial" w:cs="Arial"/>
        </w:rPr>
        <w:t xml:space="preserve"> and </w:t>
      </w:r>
      <w:r w:rsidRPr="00FA77BB">
        <w:rPr>
          <w:rFonts w:ascii="Arial" w:hAnsi="Arial" w:cs="Arial"/>
        </w:rPr>
        <w:t>senior management team</w:t>
      </w:r>
      <w:r w:rsidR="00FA77BB">
        <w:rPr>
          <w:rFonts w:ascii="Arial" w:hAnsi="Arial" w:cs="Arial"/>
        </w:rPr>
        <w:t xml:space="preserve"> on</w:t>
      </w:r>
      <w:r w:rsidR="00A1778F" w:rsidRPr="00FA77BB">
        <w:rPr>
          <w:rFonts w:ascii="Arial" w:hAnsi="Arial" w:cs="Arial"/>
        </w:rPr>
        <w:t>:</w:t>
      </w:r>
    </w:p>
    <w:p w14:paraId="5C39B9A0" w14:textId="4AAFBD78" w:rsidR="00A1778F" w:rsidRPr="00FA77BB" w:rsidRDefault="00A1778F" w:rsidP="00A1778F">
      <w:pPr>
        <w:numPr>
          <w:ilvl w:val="1"/>
          <w:numId w:val="1"/>
        </w:numPr>
        <w:rPr>
          <w:rFonts w:ascii="Arial" w:hAnsi="Arial" w:cs="Arial"/>
        </w:rPr>
      </w:pPr>
      <w:r w:rsidRPr="00FA77BB">
        <w:rPr>
          <w:rFonts w:ascii="Arial" w:hAnsi="Arial" w:cs="Arial"/>
        </w:rPr>
        <w:t xml:space="preserve">strategic HR and people management activities not already covered by the People Strategy and that have a bearing on successful implementation of the AUKE Strategic and operational plans, </w:t>
      </w:r>
    </w:p>
    <w:p w14:paraId="73A97E8C" w14:textId="261DD855" w:rsidR="00A1778F" w:rsidRPr="00FA77BB" w:rsidRDefault="00A1778F" w:rsidP="00A1778F">
      <w:pPr>
        <w:numPr>
          <w:ilvl w:val="1"/>
          <w:numId w:val="1"/>
        </w:numPr>
        <w:rPr>
          <w:rFonts w:ascii="Arial" w:hAnsi="Arial" w:cs="Arial"/>
        </w:rPr>
      </w:pPr>
      <w:r w:rsidRPr="00FA77BB">
        <w:rPr>
          <w:rFonts w:ascii="Arial" w:hAnsi="Arial" w:cs="Arial"/>
        </w:rPr>
        <w:t xml:space="preserve">legal requirements and best practice in respect of </w:t>
      </w:r>
      <w:r w:rsidR="00304D84" w:rsidRPr="00FA77BB">
        <w:rPr>
          <w:rFonts w:ascii="Arial" w:hAnsi="Arial" w:cs="Arial"/>
        </w:rPr>
        <w:t xml:space="preserve">HR and </w:t>
      </w:r>
      <w:r w:rsidRPr="00FA77BB">
        <w:rPr>
          <w:rFonts w:ascii="Arial" w:hAnsi="Arial" w:cs="Arial"/>
        </w:rPr>
        <w:t xml:space="preserve">change management, </w:t>
      </w:r>
    </w:p>
    <w:p w14:paraId="1A07C4FA" w14:textId="77777777" w:rsidR="00A1778F" w:rsidRPr="00FA77BB" w:rsidRDefault="00A1778F" w:rsidP="00A1778F">
      <w:pPr>
        <w:numPr>
          <w:ilvl w:val="1"/>
          <w:numId w:val="1"/>
        </w:numPr>
        <w:rPr>
          <w:rFonts w:ascii="Arial" w:hAnsi="Arial" w:cs="Arial"/>
        </w:rPr>
      </w:pPr>
      <w:r w:rsidRPr="00FA77BB">
        <w:rPr>
          <w:rFonts w:ascii="Arial" w:hAnsi="Arial" w:cs="Arial"/>
        </w:rPr>
        <w:t>creating a high-performing, inclusive working environment</w:t>
      </w:r>
    </w:p>
    <w:p w14:paraId="519199D7" w14:textId="7D2D6093" w:rsidR="00A1778F" w:rsidRPr="00FA77BB" w:rsidRDefault="00A1778F" w:rsidP="00A1778F">
      <w:pPr>
        <w:numPr>
          <w:ilvl w:val="1"/>
          <w:numId w:val="1"/>
        </w:numPr>
        <w:rPr>
          <w:rFonts w:ascii="Arial" w:hAnsi="Arial" w:cs="Arial"/>
        </w:rPr>
      </w:pPr>
      <w:r w:rsidRPr="00FA77BB">
        <w:rPr>
          <w:rFonts w:ascii="Arial" w:hAnsi="Arial" w:cs="Arial"/>
        </w:rPr>
        <w:t xml:space="preserve">learning and development </w:t>
      </w:r>
      <w:r w:rsidR="001A7376" w:rsidRPr="00FA77BB">
        <w:rPr>
          <w:rFonts w:ascii="Arial" w:hAnsi="Arial" w:cs="Arial"/>
        </w:rPr>
        <w:t xml:space="preserve">plan for </w:t>
      </w:r>
      <w:r w:rsidRPr="00FA77BB">
        <w:rPr>
          <w:rFonts w:ascii="Arial" w:hAnsi="Arial" w:cs="Arial"/>
        </w:rPr>
        <w:t xml:space="preserve">staff and volunteers to enhance their performance and achieve the charity’s mission and values. </w:t>
      </w:r>
    </w:p>
    <w:p w14:paraId="140151D3" w14:textId="5C677A12" w:rsidR="00482D35" w:rsidRPr="00FA77BB" w:rsidRDefault="00FA77BB" w:rsidP="00482D35">
      <w:pPr>
        <w:numPr>
          <w:ilvl w:val="0"/>
          <w:numId w:val="1"/>
        </w:numPr>
        <w:rPr>
          <w:rFonts w:ascii="Arial" w:hAnsi="Arial" w:cs="Arial"/>
        </w:rPr>
      </w:pPr>
      <w:r w:rsidRPr="00FA77BB">
        <w:rPr>
          <w:rFonts w:ascii="Arial" w:hAnsi="Arial" w:cs="Arial"/>
        </w:rPr>
        <w:t>S</w:t>
      </w:r>
      <w:r w:rsidR="00B45EC9" w:rsidRPr="00FA77BB">
        <w:rPr>
          <w:rFonts w:ascii="Arial" w:hAnsi="Arial" w:cs="Arial"/>
        </w:rPr>
        <w:t>upport</w:t>
      </w:r>
      <w:r w:rsidRPr="00FA77BB">
        <w:rPr>
          <w:rFonts w:ascii="Arial" w:hAnsi="Arial" w:cs="Arial"/>
        </w:rPr>
        <w:t xml:space="preserve"> and steer the</w:t>
      </w:r>
      <w:r w:rsidR="00482D35" w:rsidRPr="00FA77BB">
        <w:rPr>
          <w:rFonts w:ascii="Arial" w:hAnsi="Arial" w:cs="Arial"/>
        </w:rPr>
        <w:t xml:space="preserve"> effective implementation </w:t>
      </w:r>
      <w:r w:rsidR="00B45EC9" w:rsidRPr="00FA77BB">
        <w:rPr>
          <w:rFonts w:ascii="Arial" w:hAnsi="Arial" w:cs="Arial"/>
        </w:rPr>
        <w:t xml:space="preserve">and further development </w:t>
      </w:r>
      <w:r w:rsidR="00482D35" w:rsidRPr="00FA77BB">
        <w:rPr>
          <w:rFonts w:ascii="Arial" w:hAnsi="Arial" w:cs="Arial"/>
        </w:rPr>
        <w:t>of the People strategy</w:t>
      </w:r>
      <w:r w:rsidR="0023400A" w:rsidRPr="00FA77BB">
        <w:rPr>
          <w:rFonts w:ascii="Arial" w:hAnsi="Arial" w:cs="Arial"/>
        </w:rPr>
        <w:t>, including goal and target setting, and evaluating performance against targets, budgets, plans and charitable objectives.</w:t>
      </w:r>
      <w:r w:rsidR="00482D35" w:rsidRPr="00FA77BB">
        <w:rPr>
          <w:rFonts w:ascii="Arial" w:hAnsi="Arial" w:cs="Arial"/>
        </w:rPr>
        <w:t>   </w:t>
      </w:r>
    </w:p>
    <w:p w14:paraId="2E55404D" w14:textId="27AA58DB" w:rsidR="001A7376" w:rsidRPr="00FA77BB" w:rsidRDefault="00FA77BB" w:rsidP="00FA77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82D35" w:rsidRPr="00482D35">
        <w:rPr>
          <w:rFonts w:ascii="Arial" w:hAnsi="Arial" w:cs="Arial"/>
        </w:rPr>
        <w:t xml:space="preserve">nsure HR related policies </w:t>
      </w:r>
      <w:r w:rsidR="001A7376">
        <w:rPr>
          <w:rFonts w:ascii="Arial" w:hAnsi="Arial" w:cs="Arial"/>
        </w:rPr>
        <w:t xml:space="preserve">and procedures </w:t>
      </w:r>
      <w:r w:rsidR="00482D35" w:rsidRPr="00482D35">
        <w:rPr>
          <w:rFonts w:ascii="Arial" w:hAnsi="Arial" w:cs="Arial"/>
        </w:rPr>
        <w:t>are fit for purpose</w:t>
      </w:r>
      <w:r w:rsidR="00E3579B">
        <w:rPr>
          <w:rFonts w:ascii="Arial" w:hAnsi="Arial" w:cs="Arial"/>
        </w:rPr>
        <w:t xml:space="preserve">, </w:t>
      </w:r>
      <w:r w:rsidR="00CD5213">
        <w:rPr>
          <w:rFonts w:ascii="Arial" w:hAnsi="Arial" w:cs="Arial"/>
        </w:rPr>
        <w:t xml:space="preserve">compliant </w:t>
      </w:r>
      <w:r w:rsidR="006B449A">
        <w:rPr>
          <w:rFonts w:ascii="Arial" w:hAnsi="Arial" w:cs="Arial"/>
        </w:rPr>
        <w:t xml:space="preserve">with </w:t>
      </w:r>
      <w:r w:rsidR="00CD5213">
        <w:rPr>
          <w:rFonts w:ascii="Arial" w:hAnsi="Arial" w:cs="Arial"/>
        </w:rPr>
        <w:t xml:space="preserve">and </w:t>
      </w:r>
      <w:r w:rsidR="00A8101F" w:rsidRPr="00A8101F">
        <w:rPr>
          <w:rFonts w:ascii="Arial" w:hAnsi="Arial" w:cs="Arial"/>
        </w:rPr>
        <w:t xml:space="preserve">conducted within </w:t>
      </w:r>
      <w:r w:rsidR="00CD5213">
        <w:rPr>
          <w:rFonts w:ascii="Arial" w:hAnsi="Arial" w:cs="Arial"/>
        </w:rPr>
        <w:t>the highest governance standards</w:t>
      </w:r>
      <w:r w:rsidR="001A7376">
        <w:rPr>
          <w:rFonts w:ascii="Arial" w:hAnsi="Arial" w:cs="Arial"/>
        </w:rPr>
        <w:t>,</w:t>
      </w:r>
      <w:r w:rsidR="00CD5213">
        <w:rPr>
          <w:rFonts w:ascii="Arial" w:hAnsi="Arial" w:cs="Arial"/>
        </w:rPr>
        <w:t xml:space="preserve"> </w:t>
      </w:r>
      <w:r w:rsidR="00A8101F" w:rsidRPr="00A8101F">
        <w:rPr>
          <w:rFonts w:ascii="Arial" w:hAnsi="Arial" w:cs="Arial"/>
        </w:rPr>
        <w:t xml:space="preserve">legal </w:t>
      </w:r>
      <w:proofErr w:type="gramStart"/>
      <w:r w:rsidR="00A8101F" w:rsidRPr="00A8101F">
        <w:rPr>
          <w:rFonts w:ascii="Arial" w:hAnsi="Arial" w:cs="Arial"/>
        </w:rPr>
        <w:t>requirements</w:t>
      </w:r>
      <w:proofErr w:type="gramEnd"/>
      <w:r w:rsidR="00E3579B">
        <w:rPr>
          <w:rFonts w:ascii="Arial" w:hAnsi="Arial" w:cs="Arial"/>
        </w:rPr>
        <w:t xml:space="preserve"> </w:t>
      </w:r>
      <w:r w:rsidR="00A8101F" w:rsidRPr="00E3579B">
        <w:rPr>
          <w:rFonts w:ascii="Arial" w:hAnsi="Arial" w:cs="Arial"/>
        </w:rPr>
        <w:t>and best practice</w:t>
      </w:r>
      <w:r w:rsidR="0024645E">
        <w:rPr>
          <w:rFonts w:ascii="Arial" w:hAnsi="Arial" w:cs="Arial"/>
        </w:rPr>
        <w:t>.</w:t>
      </w:r>
    </w:p>
    <w:p w14:paraId="24D22072" w14:textId="56DC8F97" w:rsidR="00D371B4" w:rsidRDefault="001A7376" w:rsidP="00482D3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act as a coach for </w:t>
      </w:r>
      <w:r w:rsidR="00482D35" w:rsidRPr="00482D35">
        <w:rPr>
          <w:rFonts w:ascii="Arial" w:hAnsi="Arial" w:cs="Arial"/>
        </w:rPr>
        <w:t xml:space="preserve">the HR Advisor </w:t>
      </w:r>
      <w:r w:rsidR="00482D35">
        <w:rPr>
          <w:rFonts w:ascii="Arial" w:hAnsi="Arial" w:cs="Arial"/>
        </w:rPr>
        <w:t>on</w:t>
      </w:r>
      <w:r w:rsidR="00482D35" w:rsidRPr="00482D35">
        <w:rPr>
          <w:rFonts w:ascii="Arial" w:hAnsi="Arial" w:cs="Arial"/>
        </w:rPr>
        <w:t xml:space="preserve"> people related projects and other areas of work as mutually agreed</w:t>
      </w:r>
      <w:r w:rsidR="0089083D">
        <w:rPr>
          <w:rFonts w:ascii="Arial" w:hAnsi="Arial" w:cs="Arial"/>
        </w:rPr>
        <w:t>.</w:t>
      </w:r>
      <w:r w:rsidR="00D371B4" w:rsidRPr="00D371B4">
        <w:rPr>
          <w:rFonts w:ascii="Arial" w:hAnsi="Arial" w:cs="Arial"/>
        </w:rPr>
        <w:t xml:space="preserve"> </w:t>
      </w:r>
    </w:p>
    <w:p w14:paraId="33BD627B" w14:textId="5684A277" w:rsidR="00482D35" w:rsidRPr="00513F34" w:rsidRDefault="0023400A">
      <w:pPr>
        <w:rPr>
          <w:rFonts w:ascii="Arial" w:hAnsi="Arial" w:cs="Arial"/>
          <w:b/>
          <w:bCs/>
        </w:rPr>
      </w:pPr>
      <w:r w:rsidRPr="00513F34">
        <w:rPr>
          <w:rFonts w:ascii="Arial" w:hAnsi="Arial" w:cs="Arial"/>
          <w:b/>
          <w:bCs/>
        </w:rPr>
        <w:t>Person specification</w:t>
      </w:r>
      <w:r w:rsidR="00A24920" w:rsidRPr="00513F34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6"/>
        <w:gridCol w:w="2294"/>
        <w:gridCol w:w="1476"/>
      </w:tblGrid>
      <w:tr w:rsidR="0023400A" w14:paraId="07872534" w14:textId="77777777" w:rsidTr="00A1778F">
        <w:tc>
          <w:tcPr>
            <w:tcW w:w="3064" w:type="pct"/>
          </w:tcPr>
          <w:p w14:paraId="6F109F07" w14:textId="71DA1628" w:rsidR="0023400A" w:rsidRDefault="0023400A" w:rsidP="0023400A">
            <w:pPr>
              <w:spacing w:after="160" w:line="259" w:lineRule="auto"/>
              <w:rPr>
                <w:rFonts w:ascii="Arial" w:hAnsi="Arial" w:cs="Arial"/>
              </w:rPr>
            </w:pPr>
            <w:r w:rsidRPr="0023400A">
              <w:rPr>
                <w:rFonts w:ascii="Arial" w:hAnsi="Arial" w:cs="Arial"/>
              </w:rPr>
              <w:t xml:space="preserve">Experience and skills </w:t>
            </w:r>
            <w:r w:rsidR="00A1778F">
              <w:rPr>
                <w:rFonts w:ascii="Arial" w:hAnsi="Arial" w:cs="Arial"/>
              </w:rPr>
              <w:t>(re HR specialism)</w:t>
            </w:r>
          </w:p>
        </w:tc>
        <w:tc>
          <w:tcPr>
            <w:tcW w:w="1178" w:type="pct"/>
          </w:tcPr>
          <w:p w14:paraId="6BB1CD32" w14:textId="0849FD8F" w:rsidR="0023400A" w:rsidRDefault="0023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Essential/desirable</w:t>
            </w:r>
          </w:p>
        </w:tc>
        <w:tc>
          <w:tcPr>
            <w:tcW w:w="758" w:type="pct"/>
          </w:tcPr>
          <w:p w14:paraId="1F19E888" w14:textId="0CD39DB7" w:rsidR="0023400A" w:rsidRDefault="0023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tested </w:t>
            </w:r>
          </w:p>
        </w:tc>
      </w:tr>
      <w:tr w:rsidR="0023400A" w14:paraId="145C7B80" w14:textId="77777777" w:rsidTr="00A1778F">
        <w:tc>
          <w:tcPr>
            <w:tcW w:w="3064" w:type="pct"/>
          </w:tcPr>
          <w:p w14:paraId="66AAE22D" w14:textId="3100FA3A" w:rsidR="0023400A" w:rsidRDefault="0023400A" w:rsidP="0023400A">
            <w:pPr>
              <w:spacing w:after="160" w:line="259" w:lineRule="auto"/>
              <w:rPr>
                <w:rFonts w:ascii="Arial" w:hAnsi="Arial" w:cs="Arial"/>
              </w:rPr>
            </w:pPr>
            <w:r w:rsidRPr="0023400A">
              <w:rPr>
                <w:rFonts w:ascii="Arial" w:hAnsi="Arial" w:cs="Arial"/>
              </w:rPr>
              <w:t>1. A background as a senior HR professional and an understanding of HR policy and practice.</w:t>
            </w:r>
          </w:p>
        </w:tc>
        <w:tc>
          <w:tcPr>
            <w:tcW w:w="1178" w:type="pct"/>
          </w:tcPr>
          <w:p w14:paraId="44B3D195" w14:textId="187646A1" w:rsidR="0023400A" w:rsidRDefault="0023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417C16EC" w14:textId="0EF6F24F" w:rsidR="0023400A" w:rsidRDefault="0023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0493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</w:t>
            </w:r>
          </w:p>
        </w:tc>
      </w:tr>
      <w:tr w:rsidR="00840BDA" w14:paraId="642271E6" w14:textId="77777777" w:rsidTr="00A1778F">
        <w:tc>
          <w:tcPr>
            <w:tcW w:w="3064" w:type="pct"/>
          </w:tcPr>
          <w:p w14:paraId="3AFA977F" w14:textId="56F285B9" w:rsidR="00840BDA" w:rsidRDefault="00840BDA" w:rsidP="00840BDA">
            <w:pPr>
              <w:spacing w:after="160" w:line="259" w:lineRule="auto"/>
              <w:rPr>
                <w:rFonts w:ascii="Arial" w:hAnsi="Arial" w:cs="Arial"/>
              </w:rPr>
            </w:pPr>
            <w:r w:rsidRPr="0023400A">
              <w:rPr>
                <w:rFonts w:ascii="Arial" w:hAnsi="Arial" w:cs="Arial"/>
              </w:rPr>
              <w:lastRenderedPageBreak/>
              <w:t xml:space="preserve">2. Experience of performance management, HR/employment law and </w:t>
            </w:r>
            <w:r>
              <w:rPr>
                <w:rFonts w:ascii="Arial" w:hAnsi="Arial" w:cs="Arial"/>
              </w:rPr>
              <w:t xml:space="preserve">practical experience of implementation. </w:t>
            </w:r>
          </w:p>
        </w:tc>
        <w:tc>
          <w:tcPr>
            <w:tcW w:w="1178" w:type="pct"/>
          </w:tcPr>
          <w:p w14:paraId="3A92AD3E" w14:textId="205468BE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280CEFA7" w14:textId="14984117" w:rsidR="00840BDA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  <w:tr w:rsidR="00840BDA" w14:paraId="107C0C1C" w14:textId="77777777" w:rsidTr="00A1778F">
        <w:tc>
          <w:tcPr>
            <w:tcW w:w="3064" w:type="pct"/>
          </w:tcPr>
          <w:p w14:paraId="18788150" w14:textId="538EBD14" w:rsidR="00840BDA" w:rsidRDefault="00840BDA" w:rsidP="00840BDA">
            <w:pPr>
              <w:spacing w:after="160" w:line="259" w:lineRule="auto"/>
              <w:rPr>
                <w:rFonts w:ascii="Arial" w:hAnsi="Arial" w:cs="Arial"/>
              </w:rPr>
            </w:pPr>
            <w:r w:rsidRPr="0023400A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Excellent c</w:t>
            </w:r>
            <w:r w:rsidRPr="0023400A">
              <w:rPr>
                <w:rFonts w:ascii="Arial" w:hAnsi="Arial" w:cs="Arial"/>
              </w:rPr>
              <w:t>ommunication and interpersonal skills</w:t>
            </w:r>
            <w:r>
              <w:rPr>
                <w:rFonts w:ascii="Arial" w:hAnsi="Arial" w:cs="Arial"/>
              </w:rPr>
              <w:t xml:space="preserve">; </w:t>
            </w:r>
            <w:r w:rsidRPr="0023400A">
              <w:rPr>
                <w:rFonts w:ascii="Arial" w:hAnsi="Arial" w:cs="Arial"/>
              </w:rPr>
              <w:t xml:space="preserve">willingness to constructively challenge and </w:t>
            </w:r>
            <w:r>
              <w:rPr>
                <w:rFonts w:ascii="Arial" w:hAnsi="Arial" w:cs="Arial"/>
              </w:rPr>
              <w:t>question</w:t>
            </w:r>
            <w:r w:rsidRPr="0023400A">
              <w:rPr>
                <w:rFonts w:ascii="Arial" w:hAnsi="Arial" w:cs="Arial"/>
              </w:rPr>
              <w:t>.</w:t>
            </w:r>
          </w:p>
        </w:tc>
        <w:tc>
          <w:tcPr>
            <w:tcW w:w="1178" w:type="pct"/>
          </w:tcPr>
          <w:p w14:paraId="62059E18" w14:textId="1E83176B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0C8EFC3A" w14:textId="69E7A1D7" w:rsidR="00840BDA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  <w:tr w:rsidR="00840BDA" w14:paraId="0262D9ED" w14:textId="77777777" w:rsidTr="00A1778F">
        <w:tc>
          <w:tcPr>
            <w:tcW w:w="3064" w:type="pct"/>
          </w:tcPr>
          <w:p w14:paraId="56F4BFE3" w14:textId="431C359B" w:rsidR="00840BDA" w:rsidRPr="0023400A" w:rsidRDefault="00840BDA" w:rsidP="00840BD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Ability to process large amounts of complex data and information, apply independent judgement and objectively contribute to consensus decision making. </w:t>
            </w:r>
          </w:p>
        </w:tc>
        <w:tc>
          <w:tcPr>
            <w:tcW w:w="1178" w:type="pct"/>
          </w:tcPr>
          <w:p w14:paraId="06725550" w14:textId="26F9EEE3" w:rsidR="00840BDA" w:rsidRPr="00D412A1" w:rsidRDefault="00840BDA" w:rsidP="00840BDA">
            <w:pPr>
              <w:rPr>
                <w:rFonts w:ascii="Arial" w:hAnsi="Arial" w:cs="Arial"/>
              </w:rPr>
            </w:pPr>
            <w:r w:rsidRPr="00D412A1"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6B3F9C7A" w14:textId="74F2D303" w:rsidR="00840BDA" w:rsidRPr="00D412A1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  <w:tr w:rsidR="00840BDA" w14:paraId="3996F1B4" w14:textId="77777777" w:rsidTr="00A1778F">
        <w:tc>
          <w:tcPr>
            <w:tcW w:w="3064" w:type="pct"/>
          </w:tcPr>
          <w:p w14:paraId="01E94EEA" w14:textId="0523B9F9" w:rsidR="00840BDA" w:rsidRDefault="00840BDA" w:rsidP="00840BD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835F6">
              <w:rPr>
                <w:rFonts w:ascii="Arial" w:hAnsi="Arial" w:cs="Arial"/>
              </w:rPr>
              <w:t>Ability to work at a strategic level whil</w:t>
            </w:r>
            <w:r>
              <w:rPr>
                <w:rFonts w:ascii="Arial" w:hAnsi="Arial" w:cs="Arial"/>
              </w:rPr>
              <w:t>e</w:t>
            </w:r>
            <w:r w:rsidRPr="007835F6">
              <w:rPr>
                <w:rFonts w:ascii="Arial" w:hAnsi="Arial" w:cs="Arial"/>
              </w:rPr>
              <w:t xml:space="preserve"> understanding the detail and complexities</w:t>
            </w:r>
            <w:r>
              <w:rPr>
                <w:rFonts w:ascii="Arial" w:hAnsi="Arial" w:cs="Arial"/>
              </w:rPr>
              <w:t xml:space="preserve"> </w:t>
            </w:r>
            <w:r w:rsidRPr="007835F6">
              <w:rPr>
                <w:rFonts w:ascii="Arial" w:hAnsi="Arial" w:cs="Arial"/>
              </w:rPr>
              <w:t>of delivery, and the influencing skills needed to bring staff and stakeholders along</w:t>
            </w:r>
            <w:r>
              <w:rPr>
                <w:rFonts w:ascii="Arial" w:hAnsi="Arial" w:cs="Arial"/>
              </w:rPr>
              <w:t xml:space="preserve"> </w:t>
            </w:r>
            <w:r w:rsidRPr="007835F6">
              <w:rPr>
                <w:rFonts w:ascii="Arial" w:hAnsi="Arial" w:cs="Arial"/>
              </w:rPr>
              <w:t>with p</w:t>
            </w:r>
            <w:r>
              <w:rPr>
                <w:rFonts w:ascii="Arial" w:hAnsi="Arial" w:cs="Arial"/>
              </w:rPr>
              <w:t>roposals</w:t>
            </w:r>
            <w:r w:rsidRPr="007835F6">
              <w:rPr>
                <w:rFonts w:ascii="Arial" w:hAnsi="Arial" w:cs="Arial"/>
              </w:rPr>
              <w:t>.</w:t>
            </w:r>
          </w:p>
        </w:tc>
        <w:tc>
          <w:tcPr>
            <w:tcW w:w="1178" w:type="pct"/>
          </w:tcPr>
          <w:p w14:paraId="6E851815" w14:textId="0AE5FBB1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02F9DCDD" w14:textId="710E9CED" w:rsidR="00840BDA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  <w:tr w:rsidR="00840BDA" w14:paraId="39B231BD" w14:textId="77777777" w:rsidTr="00A1778F">
        <w:tc>
          <w:tcPr>
            <w:tcW w:w="3064" w:type="pct"/>
          </w:tcPr>
          <w:p w14:paraId="2E8AD416" w14:textId="5701EAEB" w:rsidR="00840BDA" w:rsidRDefault="00840BDA" w:rsidP="00840BD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7835F6">
              <w:rPr>
                <w:rFonts w:ascii="Arial" w:hAnsi="Arial" w:cs="Arial"/>
              </w:rPr>
              <w:t>Ability to think creatively and strategically, exercise good, independent judgement</w:t>
            </w:r>
            <w:r>
              <w:rPr>
                <w:rFonts w:ascii="Arial" w:hAnsi="Arial" w:cs="Arial"/>
              </w:rPr>
              <w:t xml:space="preserve"> </w:t>
            </w:r>
            <w:r w:rsidRPr="007835F6">
              <w:rPr>
                <w:rFonts w:ascii="Arial" w:hAnsi="Arial" w:cs="Arial"/>
              </w:rPr>
              <w:t xml:space="preserve">and work </w:t>
            </w:r>
            <w:r>
              <w:rPr>
                <w:rFonts w:ascii="Arial" w:hAnsi="Arial" w:cs="Arial"/>
              </w:rPr>
              <w:t>collaboratively</w:t>
            </w:r>
            <w:r w:rsidRPr="007835F6">
              <w:rPr>
                <w:rFonts w:ascii="Arial" w:hAnsi="Arial" w:cs="Arial"/>
              </w:rPr>
              <w:t xml:space="preserve"> as a </w:t>
            </w:r>
            <w:r>
              <w:rPr>
                <w:rFonts w:ascii="Arial" w:hAnsi="Arial" w:cs="Arial"/>
              </w:rPr>
              <w:t>B</w:t>
            </w:r>
            <w:r w:rsidRPr="007835F6">
              <w:rPr>
                <w:rFonts w:ascii="Arial" w:hAnsi="Arial" w:cs="Arial"/>
              </w:rPr>
              <w:t>oard member.</w:t>
            </w:r>
          </w:p>
        </w:tc>
        <w:tc>
          <w:tcPr>
            <w:tcW w:w="1178" w:type="pct"/>
          </w:tcPr>
          <w:p w14:paraId="1EF72CD5" w14:textId="38480368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58" w:type="pct"/>
          </w:tcPr>
          <w:p w14:paraId="0B7F9CE2" w14:textId="1D5A154F" w:rsidR="00840BDA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  <w:tr w:rsidR="00840BDA" w14:paraId="63028187" w14:textId="77777777" w:rsidTr="00A1778F">
        <w:tc>
          <w:tcPr>
            <w:tcW w:w="3064" w:type="pct"/>
          </w:tcPr>
          <w:p w14:paraId="70A4AC9C" w14:textId="09FB1265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Act as the </w:t>
            </w:r>
            <w:r w:rsidRPr="006404D6">
              <w:rPr>
                <w:rFonts w:ascii="Arial" w:hAnsi="Arial" w:cs="Arial"/>
              </w:rPr>
              <w:t xml:space="preserve">named </w:t>
            </w:r>
            <w:r>
              <w:rPr>
                <w:rFonts w:ascii="Arial" w:hAnsi="Arial" w:cs="Arial"/>
              </w:rPr>
              <w:t xml:space="preserve">lead for Age UK Enfield </w:t>
            </w:r>
            <w:r w:rsidRPr="006404D6">
              <w:rPr>
                <w:rFonts w:ascii="Arial" w:hAnsi="Arial" w:cs="Arial"/>
              </w:rPr>
              <w:t>on Data Protection legislation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8" w:type="pct"/>
          </w:tcPr>
          <w:p w14:paraId="787EE33D" w14:textId="6BABD01D" w:rsidR="00840BDA" w:rsidRDefault="00840BDA" w:rsidP="0084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58" w:type="pct"/>
          </w:tcPr>
          <w:p w14:paraId="36E0A40E" w14:textId="548097CC" w:rsidR="00840BDA" w:rsidRDefault="00840BDA" w:rsidP="00840BDA">
            <w:pPr>
              <w:rPr>
                <w:rFonts w:ascii="Arial" w:hAnsi="Arial" w:cs="Arial"/>
              </w:rPr>
            </w:pPr>
            <w:r w:rsidRPr="00A771B1">
              <w:t>A/I</w:t>
            </w:r>
          </w:p>
        </w:tc>
      </w:tr>
    </w:tbl>
    <w:p w14:paraId="5D6D5D9D" w14:textId="78354115" w:rsidR="007835F6" w:rsidRPr="00B45EC9" w:rsidRDefault="007835F6" w:rsidP="00A24920">
      <w:pPr>
        <w:rPr>
          <w:rFonts w:ascii="Arial" w:hAnsi="Arial" w:cs="Arial"/>
        </w:rPr>
      </w:pPr>
    </w:p>
    <w:sectPr w:rsidR="007835F6" w:rsidRPr="00B45EC9" w:rsidSect="00B47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4429"/>
    <w:multiLevelType w:val="hybridMultilevel"/>
    <w:tmpl w:val="2EA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35"/>
    <w:rsid w:val="00010134"/>
    <w:rsid w:val="000245E5"/>
    <w:rsid w:val="000313A6"/>
    <w:rsid w:val="00077B51"/>
    <w:rsid w:val="000826E7"/>
    <w:rsid w:val="000A44AA"/>
    <w:rsid w:val="000F5870"/>
    <w:rsid w:val="00102AA2"/>
    <w:rsid w:val="001301F3"/>
    <w:rsid w:val="001A7376"/>
    <w:rsid w:val="0023400A"/>
    <w:rsid w:val="0024645E"/>
    <w:rsid w:val="002C4449"/>
    <w:rsid w:val="00304D84"/>
    <w:rsid w:val="00436CCA"/>
    <w:rsid w:val="00482D35"/>
    <w:rsid w:val="004B0A1C"/>
    <w:rsid w:val="004E45BA"/>
    <w:rsid w:val="00513F34"/>
    <w:rsid w:val="00593EF5"/>
    <w:rsid w:val="00615FDA"/>
    <w:rsid w:val="006404D6"/>
    <w:rsid w:val="006B449A"/>
    <w:rsid w:val="006B53E5"/>
    <w:rsid w:val="00704931"/>
    <w:rsid w:val="00716B28"/>
    <w:rsid w:val="0073466B"/>
    <w:rsid w:val="00743C51"/>
    <w:rsid w:val="0076647D"/>
    <w:rsid w:val="007835F6"/>
    <w:rsid w:val="00840BDA"/>
    <w:rsid w:val="00865CDC"/>
    <w:rsid w:val="00884FB2"/>
    <w:rsid w:val="0089083D"/>
    <w:rsid w:val="00891AC5"/>
    <w:rsid w:val="008934D2"/>
    <w:rsid w:val="009C33A9"/>
    <w:rsid w:val="00A1778F"/>
    <w:rsid w:val="00A24920"/>
    <w:rsid w:val="00A8101F"/>
    <w:rsid w:val="00B13122"/>
    <w:rsid w:val="00B45EC9"/>
    <w:rsid w:val="00B479AD"/>
    <w:rsid w:val="00BB1E32"/>
    <w:rsid w:val="00BC5A95"/>
    <w:rsid w:val="00C21CC8"/>
    <w:rsid w:val="00C66424"/>
    <w:rsid w:val="00CD10E1"/>
    <w:rsid w:val="00CD5213"/>
    <w:rsid w:val="00D371B4"/>
    <w:rsid w:val="00D412A1"/>
    <w:rsid w:val="00E3579B"/>
    <w:rsid w:val="00FA77BB"/>
    <w:rsid w:val="00FC40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1A2E"/>
  <w15:chartTrackingRefBased/>
  <w15:docId w15:val="{E2B5F29A-AF67-4DA6-811D-EBA4494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3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73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Metz</dc:creator>
  <cp:keywords/>
  <dc:description/>
  <cp:lastModifiedBy>Alison De Metz</cp:lastModifiedBy>
  <cp:revision>2</cp:revision>
  <dcterms:created xsi:type="dcterms:W3CDTF">2024-03-19T17:46:00Z</dcterms:created>
  <dcterms:modified xsi:type="dcterms:W3CDTF">2024-03-19T17:46:00Z</dcterms:modified>
</cp:coreProperties>
</file>