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7D06E" w14:textId="77777777" w:rsidR="006B7F4D" w:rsidRPr="00FA5A13" w:rsidRDefault="006B7F4D" w:rsidP="006B7F4D">
      <w:pPr>
        <w:autoSpaceDE w:val="0"/>
        <w:autoSpaceDN w:val="0"/>
        <w:adjustRightInd w:val="0"/>
        <w:spacing w:before="120"/>
        <w:jc w:val="both"/>
        <w:rPr>
          <w:rFonts w:ascii="Arial" w:hAnsi="Arial" w:cs="Arial"/>
        </w:rPr>
      </w:pPr>
      <w:r w:rsidRPr="00FA5A13">
        <w:rPr>
          <w:rFonts w:ascii="Arial" w:hAnsi="Arial" w:cs="Arial"/>
          <w:b/>
          <w:bCs/>
        </w:rPr>
        <w:t xml:space="preserve">The Gender Profile of our workforce at Age UK Hertfordshire </w:t>
      </w:r>
    </w:p>
    <w:p w14:paraId="7A83ED24" w14:textId="6F0A1FD3" w:rsidR="006B7F4D" w:rsidRDefault="00837F02" w:rsidP="006B7F4D">
      <w:pPr>
        <w:autoSpaceDE w:val="0"/>
        <w:autoSpaceDN w:val="0"/>
        <w:adjustRightInd w:val="0"/>
        <w:spacing w:before="120"/>
        <w:jc w:val="both"/>
        <w:rPr>
          <w:rFonts w:ascii="Arial" w:hAnsi="Arial" w:cs="Arial"/>
          <w:color w:val="000000"/>
        </w:rPr>
      </w:pPr>
      <w:r w:rsidRPr="2048610B">
        <w:rPr>
          <w:rFonts w:ascii="Arial" w:hAnsi="Arial" w:cs="Arial"/>
          <w:color w:val="000000" w:themeColor="text1"/>
          <w:highlight w:val="yellow"/>
        </w:rPr>
        <w:t>On 5</w:t>
      </w:r>
      <w:r w:rsidR="0053443B" w:rsidRPr="2048610B">
        <w:rPr>
          <w:rFonts w:ascii="Arial" w:hAnsi="Arial" w:cs="Arial"/>
          <w:color w:val="000000" w:themeColor="text1"/>
          <w:highlight w:val="yellow"/>
          <w:vertAlign w:val="superscript"/>
        </w:rPr>
        <w:t>th</w:t>
      </w:r>
      <w:r w:rsidR="0053443B" w:rsidRPr="2048610B">
        <w:rPr>
          <w:rFonts w:ascii="Arial" w:hAnsi="Arial" w:cs="Arial"/>
          <w:color w:val="000000" w:themeColor="text1"/>
          <w:highlight w:val="yellow"/>
        </w:rPr>
        <w:t xml:space="preserve"> </w:t>
      </w:r>
      <w:r w:rsidRPr="2048610B">
        <w:rPr>
          <w:rFonts w:ascii="Arial" w:hAnsi="Arial" w:cs="Arial"/>
          <w:color w:val="000000" w:themeColor="text1"/>
          <w:highlight w:val="yellow"/>
        </w:rPr>
        <w:t>April 202</w:t>
      </w:r>
      <w:r w:rsidR="60074351" w:rsidRPr="2048610B">
        <w:rPr>
          <w:rFonts w:ascii="Arial" w:hAnsi="Arial" w:cs="Arial"/>
          <w:color w:val="000000" w:themeColor="text1"/>
          <w:highlight w:val="yellow"/>
        </w:rPr>
        <w:t>5</w:t>
      </w:r>
      <w:r w:rsidR="006B7F4D" w:rsidRPr="2048610B">
        <w:rPr>
          <w:rFonts w:ascii="Arial" w:hAnsi="Arial" w:cs="Arial"/>
          <w:color w:val="000000" w:themeColor="text1"/>
          <w:highlight w:val="yellow"/>
        </w:rPr>
        <w:t xml:space="preserve"> </w:t>
      </w:r>
      <w:r w:rsidR="77B968D7" w:rsidRPr="2048610B">
        <w:rPr>
          <w:rFonts w:ascii="Arial" w:hAnsi="Arial" w:cs="Arial"/>
          <w:highlight w:val="yellow"/>
        </w:rPr>
        <w:t>88.1</w:t>
      </w:r>
      <w:r w:rsidR="5DEEA27D" w:rsidRPr="2048610B">
        <w:rPr>
          <w:rFonts w:ascii="Arial" w:hAnsi="Arial" w:cs="Arial"/>
          <w:highlight w:val="yellow"/>
        </w:rPr>
        <w:t>4</w:t>
      </w:r>
      <w:r w:rsidR="77B968D7" w:rsidRPr="2048610B">
        <w:rPr>
          <w:rFonts w:ascii="Arial" w:hAnsi="Arial" w:cs="Arial"/>
          <w:highlight w:val="yellow"/>
        </w:rPr>
        <w:t>%</w:t>
      </w:r>
      <w:r w:rsidR="006B7F4D" w:rsidRPr="2048610B">
        <w:rPr>
          <w:rFonts w:ascii="Arial" w:hAnsi="Arial" w:cs="Arial"/>
          <w:highlight w:val="yellow"/>
        </w:rPr>
        <w:t xml:space="preserve"> </w:t>
      </w:r>
      <w:r w:rsidR="006B7F4D" w:rsidRPr="2048610B">
        <w:rPr>
          <w:rFonts w:ascii="Arial" w:hAnsi="Arial" w:cs="Arial"/>
          <w:color w:val="000000" w:themeColor="text1"/>
          <w:highlight w:val="yellow"/>
        </w:rPr>
        <w:t xml:space="preserve">of Age UK Hertfordshire’s workforce were female, </w:t>
      </w:r>
      <w:r w:rsidR="009335AF" w:rsidRPr="2048610B">
        <w:rPr>
          <w:rFonts w:ascii="Arial" w:hAnsi="Arial" w:cs="Arial"/>
          <w:color w:val="000000" w:themeColor="text1"/>
          <w:highlight w:val="yellow"/>
        </w:rPr>
        <w:t>which</w:t>
      </w:r>
      <w:r w:rsidR="006B7F4D" w:rsidRPr="2048610B">
        <w:rPr>
          <w:rFonts w:ascii="Arial" w:hAnsi="Arial" w:cs="Arial"/>
          <w:color w:val="000000" w:themeColor="text1"/>
          <w:highlight w:val="yellow"/>
        </w:rPr>
        <w:t xml:space="preserve"> </w:t>
      </w:r>
      <w:r w:rsidR="00B550D4" w:rsidRPr="2048610B">
        <w:rPr>
          <w:rFonts w:ascii="Arial" w:hAnsi="Arial" w:cs="Arial"/>
          <w:color w:val="000000" w:themeColor="text1"/>
          <w:highlight w:val="yellow"/>
        </w:rPr>
        <w:t>is</w:t>
      </w:r>
      <w:r w:rsidR="007E4193" w:rsidRPr="2048610B">
        <w:rPr>
          <w:rFonts w:ascii="Arial" w:hAnsi="Arial" w:cs="Arial"/>
          <w:color w:val="000000" w:themeColor="text1"/>
          <w:highlight w:val="yellow"/>
        </w:rPr>
        <w:t xml:space="preserve"> </w:t>
      </w:r>
      <w:r w:rsidR="48447AAA" w:rsidRPr="2048610B">
        <w:rPr>
          <w:rFonts w:ascii="Arial" w:hAnsi="Arial" w:cs="Arial"/>
          <w:color w:val="000000" w:themeColor="text1"/>
          <w:highlight w:val="yellow"/>
        </w:rPr>
        <w:t>almost no changes from</w:t>
      </w:r>
      <w:r w:rsidR="21330335" w:rsidRPr="2048610B">
        <w:rPr>
          <w:rFonts w:ascii="Arial" w:hAnsi="Arial" w:cs="Arial"/>
          <w:color w:val="000000" w:themeColor="text1"/>
          <w:highlight w:val="yellow"/>
        </w:rPr>
        <w:t xml:space="preserve"> the previous year</w:t>
      </w:r>
      <w:r w:rsidR="6411FFC4" w:rsidRPr="2048610B">
        <w:rPr>
          <w:rFonts w:ascii="Arial" w:hAnsi="Arial" w:cs="Arial"/>
          <w:color w:val="000000" w:themeColor="text1"/>
          <w:highlight w:val="yellow"/>
        </w:rPr>
        <w:t xml:space="preserve"> -</w:t>
      </w:r>
      <w:r w:rsidR="21330335" w:rsidRPr="2048610B">
        <w:rPr>
          <w:rFonts w:ascii="Arial" w:hAnsi="Arial" w:cs="Arial"/>
          <w:color w:val="000000" w:themeColor="text1"/>
          <w:highlight w:val="yellow"/>
        </w:rPr>
        <w:t xml:space="preserve"> </w:t>
      </w:r>
      <w:r w:rsidR="4DA61202" w:rsidRPr="2048610B">
        <w:rPr>
          <w:rFonts w:ascii="Arial" w:hAnsi="Arial" w:cs="Arial"/>
          <w:color w:val="000000" w:themeColor="text1"/>
          <w:highlight w:val="yellow"/>
        </w:rPr>
        <w:t>just</w:t>
      </w:r>
      <w:r w:rsidR="21330335" w:rsidRPr="2048610B">
        <w:rPr>
          <w:rFonts w:ascii="Arial" w:hAnsi="Arial" w:cs="Arial"/>
          <w:color w:val="000000" w:themeColor="text1"/>
          <w:highlight w:val="yellow"/>
        </w:rPr>
        <w:t xml:space="preserve"> 0.03</w:t>
      </w:r>
      <w:r w:rsidR="3F9A3750" w:rsidRPr="2048610B">
        <w:rPr>
          <w:rFonts w:ascii="Arial" w:hAnsi="Arial" w:cs="Arial"/>
          <w:color w:val="000000" w:themeColor="text1"/>
          <w:highlight w:val="yellow"/>
        </w:rPr>
        <w:t>% lower</w:t>
      </w:r>
      <w:r w:rsidR="796C47D7" w:rsidRPr="2048610B">
        <w:rPr>
          <w:rFonts w:ascii="Arial" w:hAnsi="Arial" w:cs="Arial"/>
          <w:color w:val="000000" w:themeColor="text1"/>
          <w:highlight w:val="yellow"/>
        </w:rPr>
        <w:t>.</w:t>
      </w:r>
      <w:r w:rsidR="006B7F4D" w:rsidRPr="2048610B">
        <w:rPr>
          <w:rFonts w:ascii="Arial" w:hAnsi="Arial" w:cs="Arial"/>
          <w:color w:val="000000" w:themeColor="text1"/>
        </w:rPr>
        <w:t xml:space="preserve">  Whilst this is a very high proportion</w:t>
      </w:r>
      <w:r w:rsidR="009335AF" w:rsidRPr="2048610B">
        <w:rPr>
          <w:rFonts w:ascii="Arial" w:hAnsi="Arial" w:cs="Arial"/>
          <w:color w:val="000000" w:themeColor="text1"/>
        </w:rPr>
        <w:t>,</w:t>
      </w:r>
      <w:r w:rsidR="006B7F4D" w:rsidRPr="2048610B">
        <w:rPr>
          <w:rFonts w:ascii="Arial" w:hAnsi="Arial" w:cs="Arial"/>
          <w:color w:val="000000" w:themeColor="text1"/>
        </w:rPr>
        <w:t xml:space="preserve"> this gender profile is </w:t>
      </w:r>
      <w:r w:rsidR="00A4464A" w:rsidRPr="2048610B">
        <w:rPr>
          <w:rFonts w:ascii="Arial" w:hAnsi="Arial" w:cs="Arial"/>
          <w:color w:val="000000" w:themeColor="text1"/>
        </w:rPr>
        <w:t>common</w:t>
      </w:r>
      <w:r w:rsidR="006B7F4D" w:rsidRPr="2048610B">
        <w:rPr>
          <w:rFonts w:ascii="Arial" w:hAnsi="Arial" w:cs="Arial"/>
          <w:color w:val="000000" w:themeColor="text1"/>
        </w:rPr>
        <w:t xml:space="preserve"> within the voluntary sector and parti</w:t>
      </w:r>
      <w:r w:rsidR="009335AF" w:rsidRPr="2048610B">
        <w:rPr>
          <w:rFonts w:ascii="Arial" w:hAnsi="Arial" w:cs="Arial"/>
          <w:color w:val="000000" w:themeColor="text1"/>
        </w:rPr>
        <w:t>cularly so for a charity</w:t>
      </w:r>
      <w:r w:rsidR="006B7F4D" w:rsidRPr="2048610B">
        <w:rPr>
          <w:rFonts w:ascii="Arial" w:hAnsi="Arial" w:cs="Arial"/>
          <w:color w:val="000000" w:themeColor="text1"/>
        </w:rPr>
        <w:t xml:space="preserve"> operating in the health and social care sector.</w:t>
      </w:r>
    </w:p>
    <w:p w14:paraId="11283757" w14:textId="77777777" w:rsidR="0089680C" w:rsidRDefault="0089680C" w:rsidP="006B7F4D">
      <w:pPr>
        <w:autoSpaceDE w:val="0"/>
        <w:autoSpaceDN w:val="0"/>
        <w:adjustRightInd w:val="0"/>
        <w:spacing w:before="120"/>
        <w:jc w:val="both"/>
        <w:rPr>
          <w:rFonts w:ascii="Arial" w:hAnsi="Arial" w:cs="Arial"/>
          <w:color w:val="000000"/>
        </w:rPr>
      </w:pPr>
    </w:p>
    <w:p w14:paraId="322D6E79" w14:textId="77777777" w:rsidR="006B7F4D" w:rsidRPr="00FA5A13" w:rsidRDefault="006B7F4D" w:rsidP="006B7F4D">
      <w:pPr>
        <w:autoSpaceDE w:val="0"/>
        <w:autoSpaceDN w:val="0"/>
        <w:adjustRightInd w:val="0"/>
        <w:spacing w:before="120"/>
        <w:jc w:val="both"/>
        <w:rPr>
          <w:rFonts w:ascii="Arial" w:hAnsi="Arial" w:cs="Arial"/>
          <w:b/>
          <w:bCs/>
        </w:rPr>
      </w:pPr>
      <w:r w:rsidRPr="00FA5A13">
        <w:rPr>
          <w:rFonts w:ascii="Arial" w:hAnsi="Arial" w:cs="Arial"/>
          <w:b/>
          <w:bCs/>
        </w:rPr>
        <w:t xml:space="preserve">Age UK Hertfordshire’s gender pay-gap </w:t>
      </w:r>
    </w:p>
    <w:p w14:paraId="13F3DD1E" w14:textId="7DC5FBE2" w:rsidR="006B7F4D" w:rsidRPr="00D73912" w:rsidRDefault="006B7F4D" w:rsidP="006B7F4D">
      <w:pPr>
        <w:autoSpaceDE w:val="0"/>
        <w:autoSpaceDN w:val="0"/>
        <w:adjustRightInd w:val="0"/>
        <w:spacing w:before="120"/>
        <w:jc w:val="both"/>
        <w:rPr>
          <w:rFonts w:ascii="Arial" w:hAnsi="Arial" w:cs="Arial"/>
          <w:color w:val="000000"/>
        </w:rPr>
      </w:pPr>
      <w:r w:rsidRPr="2048610B">
        <w:rPr>
          <w:rFonts w:ascii="Arial" w:hAnsi="Arial" w:cs="Arial"/>
          <w:color w:val="000000" w:themeColor="text1"/>
        </w:rPr>
        <w:t xml:space="preserve">Age UK Hertfordshire has reported on </w:t>
      </w:r>
      <w:r w:rsidR="009E264A" w:rsidRPr="2048610B">
        <w:rPr>
          <w:rFonts w:ascii="Arial" w:hAnsi="Arial" w:cs="Arial"/>
          <w:color w:val="000000" w:themeColor="text1"/>
        </w:rPr>
        <w:t>the gender pay gap annually since 2018</w:t>
      </w:r>
      <w:r w:rsidRPr="2048610B">
        <w:rPr>
          <w:rFonts w:ascii="Arial" w:hAnsi="Arial" w:cs="Arial"/>
          <w:color w:val="000000" w:themeColor="text1"/>
        </w:rPr>
        <w:t xml:space="preserve">, </w:t>
      </w:r>
      <w:r w:rsidR="009E264A" w:rsidRPr="2048610B">
        <w:rPr>
          <w:rFonts w:ascii="Arial" w:hAnsi="Arial" w:cs="Arial"/>
          <w:color w:val="000000" w:themeColor="text1"/>
        </w:rPr>
        <w:t xml:space="preserve">for </w:t>
      </w:r>
      <w:r w:rsidRPr="2048610B">
        <w:rPr>
          <w:rFonts w:ascii="Arial" w:hAnsi="Arial" w:cs="Arial"/>
          <w:color w:val="000000" w:themeColor="text1"/>
        </w:rPr>
        <w:t xml:space="preserve">which </w:t>
      </w:r>
      <w:r w:rsidR="009E264A" w:rsidRPr="2048610B">
        <w:rPr>
          <w:rFonts w:ascii="Arial" w:hAnsi="Arial" w:cs="Arial"/>
          <w:color w:val="000000" w:themeColor="text1"/>
        </w:rPr>
        <w:t xml:space="preserve">the current data </w:t>
      </w:r>
      <w:r w:rsidRPr="2048610B">
        <w:rPr>
          <w:rFonts w:ascii="Arial" w:hAnsi="Arial" w:cs="Arial"/>
          <w:color w:val="000000" w:themeColor="text1"/>
        </w:rPr>
        <w:t>has been calculated on th</w:t>
      </w:r>
      <w:r w:rsidR="00837F02" w:rsidRPr="2048610B">
        <w:rPr>
          <w:rFonts w:ascii="Arial" w:hAnsi="Arial" w:cs="Arial"/>
          <w:color w:val="000000" w:themeColor="text1"/>
        </w:rPr>
        <w:t>e ‘snapshot date’ of 5</w:t>
      </w:r>
      <w:r w:rsidR="006931F4" w:rsidRPr="2048610B">
        <w:rPr>
          <w:rFonts w:ascii="Arial" w:hAnsi="Arial" w:cs="Arial"/>
          <w:color w:val="000000" w:themeColor="text1"/>
          <w:vertAlign w:val="superscript"/>
        </w:rPr>
        <w:t>th</w:t>
      </w:r>
      <w:r w:rsidR="006931F4" w:rsidRPr="2048610B">
        <w:rPr>
          <w:rFonts w:ascii="Arial" w:hAnsi="Arial" w:cs="Arial"/>
          <w:color w:val="000000" w:themeColor="text1"/>
        </w:rPr>
        <w:t xml:space="preserve"> </w:t>
      </w:r>
      <w:r w:rsidR="00837F02" w:rsidRPr="2048610B">
        <w:rPr>
          <w:rFonts w:ascii="Arial" w:hAnsi="Arial" w:cs="Arial"/>
          <w:color w:val="000000" w:themeColor="text1"/>
        </w:rPr>
        <w:t xml:space="preserve">April </w:t>
      </w:r>
      <w:r w:rsidR="00837F02" w:rsidRPr="2048610B">
        <w:rPr>
          <w:rFonts w:ascii="Arial" w:hAnsi="Arial" w:cs="Arial"/>
          <w:color w:val="000000" w:themeColor="text1"/>
          <w:highlight w:val="yellow"/>
        </w:rPr>
        <w:t>202</w:t>
      </w:r>
      <w:r w:rsidR="6C2A39CB" w:rsidRPr="2048610B">
        <w:rPr>
          <w:rFonts w:ascii="Arial" w:hAnsi="Arial" w:cs="Arial"/>
          <w:color w:val="000000" w:themeColor="text1"/>
          <w:highlight w:val="yellow"/>
        </w:rPr>
        <w:t>4</w:t>
      </w:r>
      <w:r w:rsidRPr="2048610B">
        <w:rPr>
          <w:rFonts w:ascii="Arial" w:hAnsi="Arial" w:cs="Arial"/>
          <w:color w:val="000000" w:themeColor="text1"/>
        </w:rPr>
        <w:t xml:space="preserve"> and is as follows: </w:t>
      </w:r>
    </w:p>
    <w:p w14:paraId="0D76947B" w14:textId="44C04295" w:rsidR="006B7F4D" w:rsidRPr="00D73912" w:rsidRDefault="006B7F4D" w:rsidP="48FB1341">
      <w:pPr>
        <w:numPr>
          <w:ilvl w:val="0"/>
          <w:numId w:val="13"/>
        </w:numPr>
        <w:autoSpaceDE w:val="0"/>
        <w:autoSpaceDN w:val="0"/>
        <w:adjustRightInd w:val="0"/>
        <w:spacing w:before="120"/>
        <w:jc w:val="both"/>
        <w:rPr>
          <w:rFonts w:ascii="Arial" w:hAnsi="Arial" w:cs="Arial"/>
          <w:b/>
          <w:bCs/>
        </w:rPr>
      </w:pPr>
      <w:r w:rsidRPr="2048610B">
        <w:rPr>
          <w:rFonts w:ascii="Arial" w:hAnsi="Arial" w:cs="Arial"/>
          <w:color w:val="000000" w:themeColor="text1"/>
        </w:rPr>
        <w:t xml:space="preserve">The </w:t>
      </w:r>
      <w:r w:rsidRPr="2048610B">
        <w:rPr>
          <w:rFonts w:ascii="Arial" w:hAnsi="Arial" w:cs="Arial"/>
          <w:b/>
          <w:bCs/>
          <w:color w:val="000000" w:themeColor="text1"/>
        </w:rPr>
        <w:t>mean</w:t>
      </w:r>
      <w:r w:rsidRPr="2048610B">
        <w:rPr>
          <w:rFonts w:ascii="Arial" w:hAnsi="Arial" w:cs="Arial"/>
          <w:color w:val="000000" w:themeColor="text1"/>
        </w:rPr>
        <w:t xml:space="preserve"> gender pay gap for Age UK Hertfordshire is </w:t>
      </w:r>
      <w:r w:rsidR="72F151BF" w:rsidRPr="2048610B">
        <w:rPr>
          <w:rFonts w:ascii="Arial" w:hAnsi="Arial" w:cs="Arial"/>
          <w:b/>
          <w:bCs/>
          <w:color w:val="000000" w:themeColor="text1"/>
          <w:highlight w:val="yellow"/>
        </w:rPr>
        <w:t>6.05</w:t>
      </w:r>
      <w:r w:rsidR="00D46450" w:rsidRPr="2048610B">
        <w:rPr>
          <w:rFonts w:ascii="Arial" w:hAnsi="Arial" w:cs="Arial"/>
          <w:b/>
          <w:bCs/>
          <w:color w:val="000000" w:themeColor="text1"/>
          <w:highlight w:val="yellow"/>
        </w:rPr>
        <w:t>%</w:t>
      </w:r>
    </w:p>
    <w:p w14:paraId="192AD83A" w14:textId="2BDB3A63" w:rsidR="006B7F4D" w:rsidRPr="00D73912" w:rsidRDefault="006B7F4D" w:rsidP="006B7F4D">
      <w:pPr>
        <w:numPr>
          <w:ilvl w:val="0"/>
          <w:numId w:val="13"/>
        </w:numPr>
        <w:autoSpaceDE w:val="0"/>
        <w:autoSpaceDN w:val="0"/>
        <w:adjustRightInd w:val="0"/>
        <w:spacing w:before="120"/>
        <w:jc w:val="both"/>
        <w:rPr>
          <w:rFonts w:ascii="Arial" w:hAnsi="Arial" w:cs="Arial"/>
        </w:rPr>
      </w:pPr>
      <w:r w:rsidRPr="2048610B">
        <w:rPr>
          <w:rFonts w:ascii="Arial" w:hAnsi="Arial" w:cs="Arial"/>
          <w:color w:val="000000" w:themeColor="text1"/>
        </w:rPr>
        <w:t xml:space="preserve">The </w:t>
      </w:r>
      <w:r w:rsidRPr="2048610B">
        <w:rPr>
          <w:rFonts w:ascii="Arial" w:hAnsi="Arial" w:cs="Arial"/>
          <w:b/>
          <w:bCs/>
          <w:color w:val="000000" w:themeColor="text1"/>
        </w:rPr>
        <w:t xml:space="preserve">median </w:t>
      </w:r>
      <w:r w:rsidRPr="2048610B">
        <w:rPr>
          <w:rFonts w:ascii="Arial" w:hAnsi="Arial" w:cs="Arial"/>
          <w:color w:val="000000" w:themeColor="text1"/>
        </w:rPr>
        <w:t xml:space="preserve">gender pay gap for Age UK Hertfordshire </w:t>
      </w:r>
      <w:r w:rsidR="00073022" w:rsidRPr="2048610B">
        <w:rPr>
          <w:rFonts w:ascii="Arial" w:hAnsi="Arial" w:cs="Arial"/>
          <w:color w:val="000000" w:themeColor="text1"/>
        </w:rPr>
        <w:t xml:space="preserve">is </w:t>
      </w:r>
      <w:r w:rsidR="607397B6" w:rsidRPr="2048610B">
        <w:rPr>
          <w:rFonts w:ascii="Arial" w:hAnsi="Arial" w:cs="Arial"/>
          <w:b/>
          <w:bCs/>
          <w:color w:val="000000" w:themeColor="text1"/>
          <w:highlight w:val="yellow"/>
        </w:rPr>
        <w:t>0.85</w:t>
      </w:r>
      <w:r w:rsidRPr="2048610B">
        <w:rPr>
          <w:rFonts w:ascii="Arial" w:hAnsi="Arial" w:cs="Arial"/>
          <w:b/>
          <w:bCs/>
          <w:color w:val="000000" w:themeColor="text1"/>
          <w:highlight w:val="yellow"/>
        </w:rPr>
        <w:t>%</w:t>
      </w:r>
      <w:r w:rsidRPr="2048610B">
        <w:rPr>
          <w:rFonts w:ascii="Arial" w:hAnsi="Arial" w:cs="Arial"/>
          <w:color w:val="000000" w:themeColor="text1"/>
        </w:rPr>
        <w:t xml:space="preserve"> </w:t>
      </w:r>
    </w:p>
    <w:p w14:paraId="3BB2238D" w14:textId="37BB1BF8" w:rsidR="006666F2" w:rsidRPr="00AE42C6" w:rsidRDefault="006B7F4D" w:rsidP="00AE42C6">
      <w:pPr>
        <w:numPr>
          <w:ilvl w:val="0"/>
          <w:numId w:val="13"/>
        </w:numPr>
        <w:autoSpaceDE w:val="0"/>
        <w:autoSpaceDN w:val="0"/>
        <w:adjustRightInd w:val="0"/>
        <w:spacing w:before="120" w:after="240"/>
        <w:jc w:val="both"/>
        <w:rPr>
          <w:rFonts w:ascii="Arial" w:hAnsi="Arial" w:cs="Arial"/>
        </w:rPr>
      </w:pPr>
      <w:r w:rsidRPr="00D73912">
        <w:rPr>
          <w:rFonts w:ascii="Arial" w:hAnsi="Arial" w:cs="Arial"/>
          <w:color w:val="000000"/>
        </w:rPr>
        <w:t xml:space="preserve">The proportion of males and females in each pay quartile: </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316"/>
        <w:gridCol w:w="2386"/>
      </w:tblGrid>
      <w:tr w:rsidR="006B7F4D" w:rsidRPr="00D73912" w14:paraId="69AA885D" w14:textId="77777777" w:rsidTr="2048610B">
        <w:tc>
          <w:tcPr>
            <w:tcW w:w="2380" w:type="dxa"/>
          </w:tcPr>
          <w:p w14:paraId="2ADD9867" w14:textId="5BE8D9B1" w:rsidR="006B7F4D" w:rsidRPr="00D73912" w:rsidRDefault="006B7F4D" w:rsidP="00786407">
            <w:pPr>
              <w:autoSpaceDE w:val="0"/>
              <w:autoSpaceDN w:val="0"/>
              <w:adjustRightInd w:val="0"/>
              <w:spacing w:before="120"/>
              <w:jc w:val="both"/>
              <w:rPr>
                <w:rFonts w:ascii="Arial" w:hAnsi="Arial" w:cs="Arial"/>
              </w:rPr>
            </w:pPr>
            <w:r w:rsidRPr="48FB1341">
              <w:rPr>
                <w:rFonts w:ascii="Arial" w:hAnsi="Arial" w:cs="Arial"/>
              </w:rPr>
              <w:t>April 20</w:t>
            </w:r>
            <w:r w:rsidR="009335AF" w:rsidRPr="48FB1341">
              <w:rPr>
                <w:rFonts w:ascii="Arial" w:hAnsi="Arial" w:cs="Arial"/>
              </w:rPr>
              <w:t>2</w:t>
            </w:r>
            <w:r w:rsidR="69C6A7AB" w:rsidRPr="48FB1341">
              <w:rPr>
                <w:rFonts w:ascii="Arial" w:hAnsi="Arial" w:cs="Arial"/>
              </w:rPr>
              <w:t>4</w:t>
            </w:r>
          </w:p>
        </w:tc>
        <w:tc>
          <w:tcPr>
            <w:tcW w:w="2316" w:type="dxa"/>
          </w:tcPr>
          <w:p w14:paraId="122C7CB1" w14:textId="77777777" w:rsidR="006B7F4D" w:rsidRPr="00D73912" w:rsidRDefault="006B7F4D" w:rsidP="00786407">
            <w:pPr>
              <w:autoSpaceDE w:val="0"/>
              <w:autoSpaceDN w:val="0"/>
              <w:adjustRightInd w:val="0"/>
              <w:spacing w:before="120"/>
              <w:jc w:val="center"/>
              <w:rPr>
                <w:rFonts w:ascii="Arial" w:hAnsi="Arial" w:cs="Arial"/>
              </w:rPr>
            </w:pPr>
            <w:r w:rsidRPr="00D73912">
              <w:rPr>
                <w:rFonts w:ascii="Arial" w:hAnsi="Arial" w:cs="Arial"/>
                <w:b/>
                <w:bCs/>
                <w:color w:val="000000"/>
              </w:rPr>
              <w:t>Males</w:t>
            </w:r>
          </w:p>
        </w:tc>
        <w:tc>
          <w:tcPr>
            <w:tcW w:w="2386" w:type="dxa"/>
          </w:tcPr>
          <w:p w14:paraId="4FB83A89" w14:textId="77777777" w:rsidR="006B7F4D" w:rsidRPr="00D73912" w:rsidRDefault="006B7F4D" w:rsidP="00786407">
            <w:pPr>
              <w:autoSpaceDE w:val="0"/>
              <w:autoSpaceDN w:val="0"/>
              <w:adjustRightInd w:val="0"/>
              <w:spacing w:before="120"/>
              <w:jc w:val="center"/>
              <w:rPr>
                <w:rFonts w:ascii="Arial" w:hAnsi="Arial" w:cs="Arial"/>
              </w:rPr>
            </w:pPr>
            <w:r w:rsidRPr="00D73912">
              <w:rPr>
                <w:rFonts w:ascii="Arial" w:hAnsi="Arial" w:cs="Arial"/>
                <w:b/>
                <w:bCs/>
                <w:color w:val="000000"/>
              </w:rPr>
              <w:t>Females</w:t>
            </w:r>
          </w:p>
        </w:tc>
      </w:tr>
      <w:tr w:rsidR="006B7F4D" w:rsidRPr="00D73912" w14:paraId="06897E46" w14:textId="77777777" w:rsidTr="2048610B">
        <w:tc>
          <w:tcPr>
            <w:tcW w:w="2380" w:type="dxa"/>
          </w:tcPr>
          <w:p w14:paraId="4E3E3585" w14:textId="77777777" w:rsidR="006B7F4D" w:rsidRPr="00D73912" w:rsidRDefault="006B7F4D" w:rsidP="00786407">
            <w:pPr>
              <w:autoSpaceDE w:val="0"/>
              <w:autoSpaceDN w:val="0"/>
              <w:adjustRightInd w:val="0"/>
              <w:spacing w:before="120"/>
              <w:jc w:val="both"/>
              <w:rPr>
                <w:rFonts w:ascii="Arial" w:hAnsi="Arial" w:cs="Arial"/>
                <w:color w:val="000000"/>
              </w:rPr>
            </w:pPr>
            <w:r w:rsidRPr="00D73912">
              <w:rPr>
                <w:rFonts w:ascii="Arial" w:hAnsi="Arial" w:cs="Arial"/>
                <w:color w:val="000000"/>
              </w:rPr>
              <w:t>Lower (</w:t>
            </w:r>
            <w:proofErr w:type="gramStart"/>
            <w:r w:rsidRPr="00D73912">
              <w:rPr>
                <w:rFonts w:ascii="Arial" w:hAnsi="Arial" w:cs="Arial"/>
                <w:color w:val="000000"/>
              </w:rPr>
              <w:t xml:space="preserve">lowest)   </w:t>
            </w:r>
            <w:proofErr w:type="gramEnd"/>
            <w:r w:rsidRPr="00D73912">
              <w:rPr>
                <w:rFonts w:ascii="Arial" w:hAnsi="Arial" w:cs="Arial"/>
                <w:color w:val="000000"/>
              </w:rPr>
              <w:t xml:space="preserve">   </w:t>
            </w:r>
          </w:p>
        </w:tc>
        <w:tc>
          <w:tcPr>
            <w:tcW w:w="2316" w:type="dxa"/>
            <w:shd w:val="clear" w:color="auto" w:fill="FFFF00"/>
          </w:tcPr>
          <w:p w14:paraId="43981212" w14:textId="005E6F5A" w:rsidR="006B7F4D" w:rsidRPr="00D73912" w:rsidRDefault="6931E801" w:rsidP="00837F02">
            <w:pPr>
              <w:autoSpaceDE w:val="0"/>
              <w:autoSpaceDN w:val="0"/>
              <w:adjustRightInd w:val="0"/>
              <w:spacing w:before="120"/>
              <w:jc w:val="center"/>
              <w:rPr>
                <w:rFonts w:ascii="Arial" w:hAnsi="Arial" w:cs="Arial"/>
                <w:color w:val="000000"/>
              </w:rPr>
            </w:pPr>
            <w:r w:rsidRPr="2048610B">
              <w:rPr>
                <w:rFonts w:ascii="Arial" w:hAnsi="Arial" w:cs="Arial"/>
                <w:color w:val="000000" w:themeColor="text1"/>
              </w:rPr>
              <w:t>11.21</w:t>
            </w:r>
            <w:r w:rsidR="57109B6E" w:rsidRPr="2048610B">
              <w:rPr>
                <w:rFonts w:ascii="Arial" w:hAnsi="Arial" w:cs="Arial"/>
                <w:color w:val="000000" w:themeColor="text1"/>
              </w:rPr>
              <w:t>%</w:t>
            </w:r>
          </w:p>
        </w:tc>
        <w:tc>
          <w:tcPr>
            <w:tcW w:w="2386" w:type="dxa"/>
            <w:shd w:val="clear" w:color="auto" w:fill="FFFF00"/>
          </w:tcPr>
          <w:p w14:paraId="3BFA25D0" w14:textId="0CFA5C68" w:rsidR="006B7F4D" w:rsidRPr="00D73912" w:rsidRDefault="4DA256AC" w:rsidP="00786407">
            <w:pPr>
              <w:autoSpaceDE w:val="0"/>
              <w:autoSpaceDN w:val="0"/>
              <w:adjustRightInd w:val="0"/>
              <w:spacing w:before="120"/>
              <w:jc w:val="center"/>
              <w:rPr>
                <w:rFonts w:ascii="Arial" w:hAnsi="Arial" w:cs="Arial"/>
                <w:color w:val="000000"/>
              </w:rPr>
            </w:pPr>
            <w:r w:rsidRPr="2048610B">
              <w:rPr>
                <w:rFonts w:ascii="Arial" w:hAnsi="Arial" w:cs="Arial"/>
                <w:color w:val="000000" w:themeColor="text1"/>
              </w:rPr>
              <w:t>88.79</w:t>
            </w:r>
            <w:r w:rsidR="57109B6E" w:rsidRPr="2048610B">
              <w:rPr>
                <w:rFonts w:ascii="Arial" w:hAnsi="Arial" w:cs="Arial"/>
                <w:color w:val="000000" w:themeColor="text1"/>
              </w:rPr>
              <w:t>%</w:t>
            </w:r>
          </w:p>
        </w:tc>
      </w:tr>
      <w:tr w:rsidR="006B7F4D" w:rsidRPr="00D73912" w14:paraId="2589BF89" w14:textId="77777777" w:rsidTr="2048610B">
        <w:tc>
          <w:tcPr>
            <w:tcW w:w="2380" w:type="dxa"/>
          </w:tcPr>
          <w:p w14:paraId="63BDF182" w14:textId="77777777" w:rsidR="006B7F4D" w:rsidRPr="00D73912" w:rsidRDefault="006B7F4D" w:rsidP="00786407">
            <w:pPr>
              <w:autoSpaceDE w:val="0"/>
              <w:autoSpaceDN w:val="0"/>
              <w:adjustRightInd w:val="0"/>
              <w:spacing w:before="120"/>
              <w:jc w:val="both"/>
              <w:rPr>
                <w:rFonts w:ascii="Arial" w:hAnsi="Arial" w:cs="Arial"/>
                <w:color w:val="000000"/>
              </w:rPr>
            </w:pPr>
            <w:r w:rsidRPr="00D73912">
              <w:rPr>
                <w:rFonts w:ascii="Arial" w:hAnsi="Arial" w:cs="Arial"/>
                <w:color w:val="000000"/>
              </w:rPr>
              <w:t xml:space="preserve">Lower middle       </w:t>
            </w:r>
          </w:p>
        </w:tc>
        <w:tc>
          <w:tcPr>
            <w:tcW w:w="2316" w:type="dxa"/>
            <w:shd w:val="clear" w:color="auto" w:fill="FFFF00"/>
          </w:tcPr>
          <w:p w14:paraId="08E6FD45" w14:textId="6DE0D32E" w:rsidR="006B7F4D" w:rsidRPr="00D73912" w:rsidRDefault="32595BEF" w:rsidP="00786407">
            <w:pPr>
              <w:autoSpaceDE w:val="0"/>
              <w:autoSpaceDN w:val="0"/>
              <w:adjustRightInd w:val="0"/>
              <w:spacing w:before="120"/>
              <w:jc w:val="center"/>
              <w:rPr>
                <w:rFonts w:ascii="Arial" w:hAnsi="Arial" w:cs="Arial"/>
                <w:color w:val="000000"/>
              </w:rPr>
            </w:pPr>
            <w:r w:rsidRPr="2048610B">
              <w:rPr>
                <w:rFonts w:ascii="Arial" w:hAnsi="Arial" w:cs="Arial"/>
                <w:color w:val="000000" w:themeColor="text1"/>
              </w:rPr>
              <w:t>1.87</w:t>
            </w:r>
            <w:r w:rsidR="6ABC3B75" w:rsidRPr="2048610B">
              <w:rPr>
                <w:rFonts w:ascii="Arial" w:hAnsi="Arial" w:cs="Arial"/>
                <w:color w:val="000000" w:themeColor="text1"/>
              </w:rPr>
              <w:t>%</w:t>
            </w:r>
          </w:p>
        </w:tc>
        <w:tc>
          <w:tcPr>
            <w:tcW w:w="2386" w:type="dxa"/>
            <w:shd w:val="clear" w:color="auto" w:fill="FFFF00"/>
          </w:tcPr>
          <w:p w14:paraId="208EE8E8" w14:textId="223BA76C" w:rsidR="006B7F4D" w:rsidRPr="00D73912" w:rsidRDefault="6ABC3B75" w:rsidP="00786407">
            <w:pPr>
              <w:autoSpaceDE w:val="0"/>
              <w:autoSpaceDN w:val="0"/>
              <w:adjustRightInd w:val="0"/>
              <w:spacing w:before="120"/>
              <w:jc w:val="center"/>
              <w:rPr>
                <w:rFonts w:ascii="Arial" w:hAnsi="Arial" w:cs="Arial"/>
              </w:rPr>
            </w:pPr>
            <w:r w:rsidRPr="2048610B">
              <w:rPr>
                <w:rFonts w:ascii="Arial" w:hAnsi="Arial" w:cs="Arial"/>
              </w:rPr>
              <w:t>9</w:t>
            </w:r>
            <w:r w:rsidR="0951576B" w:rsidRPr="2048610B">
              <w:rPr>
                <w:rFonts w:ascii="Arial" w:hAnsi="Arial" w:cs="Arial"/>
              </w:rPr>
              <w:t>8.13</w:t>
            </w:r>
            <w:r w:rsidRPr="2048610B">
              <w:rPr>
                <w:rFonts w:ascii="Arial" w:hAnsi="Arial" w:cs="Arial"/>
              </w:rPr>
              <w:t>%</w:t>
            </w:r>
          </w:p>
        </w:tc>
      </w:tr>
      <w:tr w:rsidR="00492CF5" w:rsidRPr="00D73912" w14:paraId="274E63FA" w14:textId="77777777" w:rsidTr="2048610B">
        <w:tc>
          <w:tcPr>
            <w:tcW w:w="2380" w:type="dxa"/>
          </w:tcPr>
          <w:p w14:paraId="3085A78A" w14:textId="77777777" w:rsidR="00492CF5" w:rsidRPr="00D73912" w:rsidRDefault="00492CF5" w:rsidP="00492CF5">
            <w:pPr>
              <w:autoSpaceDE w:val="0"/>
              <w:autoSpaceDN w:val="0"/>
              <w:adjustRightInd w:val="0"/>
              <w:spacing w:before="120"/>
              <w:jc w:val="both"/>
              <w:rPr>
                <w:rFonts w:ascii="Arial" w:hAnsi="Arial" w:cs="Arial"/>
                <w:color w:val="000000"/>
              </w:rPr>
            </w:pPr>
            <w:r w:rsidRPr="00D73912">
              <w:rPr>
                <w:rFonts w:ascii="Arial" w:hAnsi="Arial" w:cs="Arial"/>
                <w:color w:val="000000"/>
              </w:rPr>
              <w:t xml:space="preserve">Upper middle       </w:t>
            </w:r>
          </w:p>
        </w:tc>
        <w:tc>
          <w:tcPr>
            <w:tcW w:w="2316" w:type="dxa"/>
            <w:shd w:val="clear" w:color="auto" w:fill="FFFF00"/>
          </w:tcPr>
          <w:p w14:paraId="12791886" w14:textId="30CDC3C0" w:rsidR="00492CF5" w:rsidRPr="00D73912" w:rsidRDefault="6CA316CC" w:rsidP="00492CF5">
            <w:pPr>
              <w:autoSpaceDE w:val="0"/>
              <w:autoSpaceDN w:val="0"/>
              <w:adjustRightInd w:val="0"/>
              <w:spacing w:before="120"/>
              <w:jc w:val="center"/>
              <w:rPr>
                <w:rFonts w:ascii="Arial" w:hAnsi="Arial" w:cs="Arial"/>
                <w:color w:val="000000"/>
              </w:rPr>
            </w:pPr>
            <w:r w:rsidRPr="2048610B">
              <w:rPr>
                <w:rFonts w:ascii="Arial" w:hAnsi="Arial" w:cs="Arial"/>
                <w:color w:val="000000" w:themeColor="text1"/>
              </w:rPr>
              <w:t>22.43</w:t>
            </w:r>
            <w:r w:rsidR="2012ED0C" w:rsidRPr="2048610B">
              <w:rPr>
                <w:rFonts w:ascii="Arial" w:hAnsi="Arial" w:cs="Arial"/>
                <w:color w:val="000000" w:themeColor="text1"/>
              </w:rPr>
              <w:t>%</w:t>
            </w:r>
          </w:p>
        </w:tc>
        <w:tc>
          <w:tcPr>
            <w:tcW w:w="2386" w:type="dxa"/>
            <w:shd w:val="clear" w:color="auto" w:fill="FFFF00"/>
          </w:tcPr>
          <w:p w14:paraId="4AAE99C8" w14:textId="6C8D08D8" w:rsidR="00492CF5" w:rsidRPr="00D73912" w:rsidRDefault="2012ED0C" w:rsidP="00492CF5">
            <w:pPr>
              <w:autoSpaceDE w:val="0"/>
              <w:autoSpaceDN w:val="0"/>
              <w:adjustRightInd w:val="0"/>
              <w:spacing w:before="120"/>
              <w:jc w:val="center"/>
              <w:rPr>
                <w:rFonts w:ascii="Arial" w:hAnsi="Arial" w:cs="Arial"/>
              </w:rPr>
            </w:pPr>
            <w:r w:rsidRPr="2048610B">
              <w:rPr>
                <w:rFonts w:ascii="Arial" w:hAnsi="Arial" w:cs="Arial"/>
              </w:rPr>
              <w:t>7</w:t>
            </w:r>
            <w:r w:rsidR="35D5EAB4" w:rsidRPr="2048610B">
              <w:rPr>
                <w:rFonts w:ascii="Arial" w:hAnsi="Arial" w:cs="Arial"/>
              </w:rPr>
              <w:t>7.57</w:t>
            </w:r>
            <w:r w:rsidRPr="2048610B">
              <w:rPr>
                <w:rFonts w:ascii="Arial" w:hAnsi="Arial" w:cs="Arial"/>
              </w:rPr>
              <w:t>%</w:t>
            </w:r>
          </w:p>
        </w:tc>
      </w:tr>
      <w:tr w:rsidR="006B7F4D" w:rsidRPr="00D73912" w14:paraId="22D35C0A" w14:textId="77777777" w:rsidTr="2048610B">
        <w:tc>
          <w:tcPr>
            <w:tcW w:w="2380" w:type="dxa"/>
          </w:tcPr>
          <w:p w14:paraId="055E2AE4" w14:textId="7833C187" w:rsidR="006B7F4D" w:rsidRPr="00D73912" w:rsidRDefault="006B7F4D" w:rsidP="00786407">
            <w:pPr>
              <w:autoSpaceDE w:val="0"/>
              <w:autoSpaceDN w:val="0"/>
              <w:adjustRightInd w:val="0"/>
              <w:spacing w:before="120"/>
              <w:jc w:val="both"/>
              <w:rPr>
                <w:rFonts w:ascii="Arial" w:hAnsi="Arial" w:cs="Arial"/>
                <w:color w:val="000000"/>
              </w:rPr>
            </w:pPr>
            <w:r w:rsidRPr="00D73912">
              <w:rPr>
                <w:rFonts w:ascii="Arial" w:hAnsi="Arial" w:cs="Arial"/>
                <w:color w:val="000000"/>
              </w:rPr>
              <w:t>Upper (</w:t>
            </w:r>
            <w:r w:rsidR="00ED716E" w:rsidRPr="00D73912">
              <w:rPr>
                <w:rFonts w:ascii="Arial" w:hAnsi="Arial" w:cs="Arial"/>
                <w:color w:val="000000"/>
              </w:rPr>
              <w:t>highest)</w:t>
            </w:r>
            <w:r w:rsidRPr="00D73912">
              <w:rPr>
                <w:rFonts w:ascii="Arial" w:hAnsi="Arial" w:cs="Arial"/>
                <w:color w:val="000000"/>
              </w:rPr>
              <w:t xml:space="preserve">  </w:t>
            </w:r>
          </w:p>
        </w:tc>
        <w:tc>
          <w:tcPr>
            <w:tcW w:w="2316" w:type="dxa"/>
            <w:shd w:val="clear" w:color="auto" w:fill="FFFF00"/>
          </w:tcPr>
          <w:p w14:paraId="08A021BB" w14:textId="02817620" w:rsidR="006B7F4D" w:rsidRPr="00D73912" w:rsidRDefault="24C3008F" w:rsidP="00786407">
            <w:pPr>
              <w:autoSpaceDE w:val="0"/>
              <w:autoSpaceDN w:val="0"/>
              <w:adjustRightInd w:val="0"/>
              <w:spacing w:before="120"/>
              <w:jc w:val="center"/>
              <w:rPr>
                <w:rFonts w:ascii="Arial" w:hAnsi="Arial" w:cs="Arial"/>
                <w:color w:val="000000"/>
              </w:rPr>
            </w:pPr>
            <w:r w:rsidRPr="2048610B">
              <w:rPr>
                <w:rFonts w:ascii="Arial" w:hAnsi="Arial" w:cs="Arial"/>
                <w:color w:val="000000" w:themeColor="text1"/>
              </w:rPr>
              <w:t>11.21%</w:t>
            </w:r>
          </w:p>
        </w:tc>
        <w:tc>
          <w:tcPr>
            <w:tcW w:w="2386" w:type="dxa"/>
            <w:shd w:val="clear" w:color="auto" w:fill="FFFF00"/>
          </w:tcPr>
          <w:p w14:paraId="023ABF8E" w14:textId="672F4540" w:rsidR="006B7F4D" w:rsidRPr="00D73912" w:rsidRDefault="2DD880E9" w:rsidP="00786407">
            <w:pPr>
              <w:autoSpaceDE w:val="0"/>
              <w:autoSpaceDN w:val="0"/>
              <w:adjustRightInd w:val="0"/>
              <w:spacing w:before="120"/>
              <w:jc w:val="center"/>
              <w:rPr>
                <w:rFonts w:ascii="Arial" w:hAnsi="Arial" w:cs="Arial"/>
              </w:rPr>
            </w:pPr>
            <w:r w:rsidRPr="2048610B">
              <w:rPr>
                <w:rFonts w:ascii="Arial" w:hAnsi="Arial" w:cs="Arial"/>
              </w:rPr>
              <w:t>8</w:t>
            </w:r>
            <w:r w:rsidR="041C5242" w:rsidRPr="2048610B">
              <w:rPr>
                <w:rFonts w:ascii="Arial" w:hAnsi="Arial" w:cs="Arial"/>
              </w:rPr>
              <w:t>8.79</w:t>
            </w:r>
            <w:r w:rsidRPr="2048610B">
              <w:rPr>
                <w:rFonts w:ascii="Arial" w:hAnsi="Arial" w:cs="Arial"/>
              </w:rPr>
              <w:t>%</w:t>
            </w:r>
          </w:p>
        </w:tc>
      </w:tr>
    </w:tbl>
    <w:p w14:paraId="217EC0FB" w14:textId="77777777" w:rsidR="006B7F4D" w:rsidRPr="00D73912" w:rsidRDefault="006B7F4D" w:rsidP="006B7F4D">
      <w:pPr>
        <w:autoSpaceDE w:val="0"/>
        <w:autoSpaceDN w:val="0"/>
        <w:adjustRightInd w:val="0"/>
        <w:spacing w:before="120"/>
        <w:jc w:val="both"/>
        <w:rPr>
          <w:rFonts w:ascii="Arial" w:hAnsi="Arial" w:cs="Arial"/>
          <w:bCs/>
          <w:sz w:val="12"/>
          <w:szCs w:val="12"/>
        </w:rPr>
      </w:pPr>
    </w:p>
    <w:p w14:paraId="16BE2365" w14:textId="10EFF2C6" w:rsidR="006B7F4D" w:rsidRPr="00D73912" w:rsidRDefault="006B7F4D" w:rsidP="48FB1341">
      <w:pPr>
        <w:autoSpaceDE w:val="0"/>
        <w:autoSpaceDN w:val="0"/>
        <w:adjustRightInd w:val="0"/>
        <w:spacing w:before="120"/>
        <w:jc w:val="both"/>
        <w:rPr>
          <w:rFonts w:ascii="Arial" w:hAnsi="Arial" w:cs="Arial"/>
        </w:rPr>
      </w:pPr>
      <w:r w:rsidRPr="2048610B">
        <w:rPr>
          <w:rFonts w:ascii="Arial" w:hAnsi="Arial" w:cs="Arial"/>
        </w:rPr>
        <w:t>For comparison the previous data, calculated on the ‘snapshot date’ of 5</w:t>
      </w:r>
      <w:r w:rsidR="0005730F" w:rsidRPr="2048610B">
        <w:rPr>
          <w:rFonts w:ascii="Arial" w:hAnsi="Arial" w:cs="Arial"/>
          <w:vertAlign w:val="superscript"/>
        </w:rPr>
        <w:t>th</w:t>
      </w:r>
      <w:r w:rsidR="0005730F" w:rsidRPr="2048610B">
        <w:rPr>
          <w:rFonts w:ascii="Arial" w:hAnsi="Arial" w:cs="Arial"/>
        </w:rPr>
        <w:t xml:space="preserve"> </w:t>
      </w:r>
      <w:r w:rsidRPr="2048610B">
        <w:rPr>
          <w:rFonts w:ascii="Arial" w:hAnsi="Arial" w:cs="Arial"/>
        </w:rPr>
        <w:t xml:space="preserve">April </w:t>
      </w:r>
      <w:r w:rsidRPr="2048610B">
        <w:rPr>
          <w:rFonts w:ascii="Arial" w:hAnsi="Arial" w:cs="Arial"/>
          <w:highlight w:val="yellow"/>
        </w:rPr>
        <w:t>20</w:t>
      </w:r>
      <w:r w:rsidR="002E3F00" w:rsidRPr="2048610B">
        <w:rPr>
          <w:rFonts w:ascii="Arial" w:hAnsi="Arial" w:cs="Arial"/>
          <w:highlight w:val="yellow"/>
        </w:rPr>
        <w:t>2</w:t>
      </w:r>
      <w:r w:rsidR="25239732" w:rsidRPr="2048610B">
        <w:rPr>
          <w:rFonts w:ascii="Arial" w:hAnsi="Arial" w:cs="Arial"/>
          <w:highlight w:val="yellow"/>
        </w:rPr>
        <w:t>4</w:t>
      </w:r>
      <w:r w:rsidRPr="2048610B">
        <w:rPr>
          <w:rFonts w:ascii="Arial" w:hAnsi="Arial" w:cs="Arial"/>
        </w:rPr>
        <w:t xml:space="preserve"> is shown below:</w:t>
      </w:r>
    </w:p>
    <w:p w14:paraId="2D1C419B" w14:textId="79539147" w:rsidR="034C69EA" w:rsidRDefault="034C69EA" w:rsidP="2048610B">
      <w:pPr>
        <w:numPr>
          <w:ilvl w:val="0"/>
          <w:numId w:val="13"/>
        </w:numPr>
        <w:spacing w:before="120"/>
        <w:jc w:val="both"/>
        <w:rPr>
          <w:rFonts w:ascii="Arial" w:hAnsi="Arial" w:cs="Arial"/>
          <w:b/>
          <w:bCs/>
        </w:rPr>
      </w:pPr>
      <w:r w:rsidRPr="2048610B">
        <w:rPr>
          <w:rFonts w:ascii="Arial" w:eastAsia="Arial" w:hAnsi="Arial" w:cs="Arial"/>
          <w:color w:val="000000" w:themeColor="text1"/>
        </w:rPr>
        <w:t xml:space="preserve">The </w:t>
      </w:r>
      <w:r w:rsidRPr="2048610B">
        <w:rPr>
          <w:rFonts w:ascii="Arial" w:eastAsia="Arial" w:hAnsi="Arial" w:cs="Arial"/>
          <w:b/>
          <w:bCs/>
          <w:color w:val="000000" w:themeColor="text1"/>
        </w:rPr>
        <w:t>mean</w:t>
      </w:r>
      <w:r w:rsidRPr="2048610B">
        <w:rPr>
          <w:rFonts w:ascii="Arial" w:eastAsia="Arial" w:hAnsi="Arial" w:cs="Arial"/>
          <w:color w:val="000000" w:themeColor="text1"/>
        </w:rPr>
        <w:t xml:space="preserve"> gender pay gap for Age UK Hertfordshire is </w:t>
      </w:r>
      <w:r w:rsidR="1944A72B" w:rsidRPr="2048610B">
        <w:rPr>
          <w:rFonts w:ascii="Arial" w:hAnsi="Arial" w:cs="Arial"/>
          <w:b/>
          <w:bCs/>
          <w:color w:val="000000" w:themeColor="text1"/>
          <w:highlight w:val="yellow"/>
        </w:rPr>
        <w:t>9.17%</w:t>
      </w:r>
    </w:p>
    <w:p w14:paraId="73A7CFD2" w14:textId="5D1D7AD7" w:rsidR="034C69EA" w:rsidRDefault="034C69EA" w:rsidP="2048610B">
      <w:pPr>
        <w:pStyle w:val="ListParagraph"/>
        <w:numPr>
          <w:ilvl w:val="0"/>
          <w:numId w:val="13"/>
        </w:numPr>
        <w:spacing w:before="120"/>
        <w:jc w:val="both"/>
        <w:rPr>
          <w:rFonts w:ascii="Arial" w:hAnsi="Arial" w:cs="Arial"/>
          <w:color w:val="000000" w:themeColor="text1"/>
        </w:rPr>
      </w:pPr>
      <w:r w:rsidRPr="2048610B">
        <w:rPr>
          <w:rFonts w:ascii="Arial" w:eastAsia="Arial" w:hAnsi="Arial" w:cs="Arial"/>
          <w:color w:val="000000" w:themeColor="text1"/>
        </w:rPr>
        <w:t xml:space="preserve">The </w:t>
      </w:r>
      <w:r w:rsidRPr="2048610B">
        <w:rPr>
          <w:rFonts w:ascii="Arial" w:eastAsia="Arial" w:hAnsi="Arial" w:cs="Arial"/>
          <w:b/>
          <w:bCs/>
          <w:color w:val="000000" w:themeColor="text1"/>
        </w:rPr>
        <w:t xml:space="preserve">median </w:t>
      </w:r>
      <w:r w:rsidRPr="2048610B">
        <w:rPr>
          <w:rFonts w:ascii="Arial" w:eastAsia="Arial" w:hAnsi="Arial" w:cs="Arial"/>
          <w:color w:val="000000" w:themeColor="text1"/>
        </w:rPr>
        <w:t xml:space="preserve">gender pay gap for Age UK Hertfordshire is </w:t>
      </w:r>
      <w:r w:rsidR="5FF106A4" w:rsidRPr="2048610B">
        <w:rPr>
          <w:rFonts w:ascii="Arial" w:hAnsi="Arial" w:cs="Arial"/>
          <w:b/>
          <w:bCs/>
          <w:color w:val="000000" w:themeColor="text1"/>
          <w:highlight w:val="yellow"/>
        </w:rPr>
        <w:t>13.18%</w:t>
      </w:r>
    </w:p>
    <w:p w14:paraId="63348959" w14:textId="098D7E93" w:rsidR="006666F2" w:rsidRPr="00AE42C6" w:rsidRDefault="006B7F4D" w:rsidP="00AE42C6">
      <w:pPr>
        <w:numPr>
          <w:ilvl w:val="0"/>
          <w:numId w:val="13"/>
        </w:numPr>
        <w:autoSpaceDE w:val="0"/>
        <w:autoSpaceDN w:val="0"/>
        <w:adjustRightInd w:val="0"/>
        <w:spacing w:before="120" w:after="240"/>
        <w:jc w:val="both"/>
        <w:rPr>
          <w:rFonts w:ascii="Arial" w:hAnsi="Arial" w:cs="Arial"/>
        </w:rPr>
      </w:pPr>
      <w:r w:rsidRPr="00FA5A13">
        <w:rPr>
          <w:rFonts w:ascii="Arial" w:hAnsi="Arial" w:cs="Arial"/>
          <w:color w:val="000000"/>
        </w:rPr>
        <w:t xml:space="preserve">The proportion of males and females in each pay quartile: </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316"/>
        <w:gridCol w:w="2386"/>
      </w:tblGrid>
      <w:tr w:rsidR="006B7F4D" w:rsidRPr="00FA5A13" w14:paraId="18133187" w14:textId="77777777" w:rsidTr="2048610B">
        <w:tc>
          <w:tcPr>
            <w:tcW w:w="2380" w:type="dxa"/>
          </w:tcPr>
          <w:p w14:paraId="42078338" w14:textId="4B8195BC" w:rsidR="48FB1341" w:rsidRDefault="55406E7A" w:rsidP="2048610B">
            <w:pPr>
              <w:spacing w:before="120"/>
              <w:jc w:val="both"/>
              <w:rPr>
                <w:rFonts w:ascii="Arial" w:eastAsia="Arial" w:hAnsi="Arial" w:cs="Arial"/>
                <w:color w:val="000000" w:themeColor="text1"/>
              </w:rPr>
            </w:pPr>
            <w:r w:rsidRPr="2048610B">
              <w:rPr>
                <w:rFonts w:ascii="Arial" w:eastAsia="Arial" w:hAnsi="Arial" w:cs="Arial"/>
                <w:color w:val="000000" w:themeColor="text1"/>
              </w:rPr>
              <w:t>April 202</w:t>
            </w:r>
            <w:r w:rsidR="398DA4DD" w:rsidRPr="2048610B">
              <w:rPr>
                <w:rFonts w:ascii="Arial" w:eastAsia="Arial" w:hAnsi="Arial" w:cs="Arial"/>
                <w:color w:val="000000" w:themeColor="text1"/>
              </w:rPr>
              <w:t>4</w:t>
            </w:r>
          </w:p>
        </w:tc>
        <w:tc>
          <w:tcPr>
            <w:tcW w:w="2316" w:type="dxa"/>
          </w:tcPr>
          <w:p w14:paraId="478D8FF9" w14:textId="3B3D3248" w:rsidR="48FB1341" w:rsidRDefault="48FB1341" w:rsidP="48FB1341">
            <w:pPr>
              <w:spacing w:before="120"/>
              <w:jc w:val="center"/>
              <w:rPr>
                <w:rFonts w:ascii="Arial" w:eastAsia="Arial" w:hAnsi="Arial" w:cs="Arial"/>
                <w:color w:val="000000" w:themeColor="text1"/>
              </w:rPr>
            </w:pPr>
            <w:r w:rsidRPr="48FB1341">
              <w:rPr>
                <w:rFonts w:ascii="Arial" w:eastAsia="Arial" w:hAnsi="Arial" w:cs="Arial"/>
                <w:b/>
                <w:bCs/>
                <w:color w:val="000000" w:themeColor="text1"/>
              </w:rPr>
              <w:t>Males</w:t>
            </w:r>
          </w:p>
        </w:tc>
        <w:tc>
          <w:tcPr>
            <w:tcW w:w="2386" w:type="dxa"/>
          </w:tcPr>
          <w:p w14:paraId="5D0A1D8E" w14:textId="4911DCB5" w:rsidR="48FB1341" w:rsidRDefault="48FB1341" w:rsidP="48FB1341">
            <w:pPr>
              <w:spacing w:before="120"/>
              <w:jc w:val="center"/>
              <w:rPr>
                <w:rFonts w:ascii="Arial" w:eastAsia="Arial" w:hAnsi="Arial" w:cs="Arial"/>
                <w:color w:val="000000" w:themeColor="text1"/>
              </w:rPr>
            </w:pPr>
            <w:r w:rsidRPr="48FB1341">
              <w:rPr>
                <w:rFonts w:ascii="Arial" w:eastAsia="Arial" w:hAnsi="Arial" w:cs="Arial"/>
                <w:b/>
                <w:bCs/>
                <w:color w:val="000000" w:themeColor="text1"/>
              </w:rPr>
              <w:t>Females</w:t>
            </w:r>
          </w:p>
        </w:tc>
      </w:tr>
      <w:tr w:rsidR="000771CB" w:rsidRPr="00FA5A13" w14:paraId="3BC75176" w14:textId="77777777" w:rsidTr="2048610B">
        <w:tc>
          <w:tcPr>
            <w:tcW w:w="2380" w:type="dxa"/>
          </w:tcPr>
          <w:p w14:paraId="1C641C1C" w14:textId="37203269" w:rsidR="48FB1341" w:rsidRDefault="48FB1341" w:rsidP="48FB1341">
            <w:pPr>
              <w:spacing w:before="120"/>
              <w:jc w:val="both"/>
              <w:rPr>
                <w:rFonts w:ascii="Arial" w:eastAsia="Arial" w:hAnsi="Arial" w:cs="Arial"/>
                <w:color w:val="000000" w:themeColor="text1"/>
              </w:rPr>
            </w:pPr>
            <w:r w:rsidRPr="48FB1341">
              <w:rPr>
                <w:rFonts w:ascii="Arial" w:eastAsia="Arial" w:hAnsi="Arial" w:cs="Arial"/>
                <w:color w:val="000000" w:themeColor="text1"/>
              </w:rPr>
              <w:t>Lower (</w:t>
            </w:r>
            <w:proofErr w:type="gramStart"/>
            <w:r w:rsidRPr="48FB1341">
              <w:rPr>
                <w:rFonts w:ascii="Arial" w:eastAsia="Arial" w:hAnsi="Arial" w:cs="Arial"/>
                <w:color w:val="000000" w:themeColor="text1"/>
              </w:rPr>
              <w:t xml:space="preserve">lowest)   </w:t>
            </w:r>
            <w:proofErr w:type="gramEnd"/>
            <w:r w:rsidRPr="48FB1341">
              <w:rPr>
                <w:rFonts w:ascii="Arial" w:eastAsia="Arial" w:hAnsi="Arial" w:cs="Arial"/>
                <w:color w:val="000000" w:themeColor="text1"/>
              </w:rPr>
              <w:t xml:space="preserve">   </w:t>
            </w:r>
          </w:p>
        </w:tc>
        <w:tc>
          <w:tcPr>
            <w:tcW w:w="2316" w:type="dxa"/>
            <w:shd w:val="clear" w:color="auto" w:fill="FFFF00"/>
          </w:tcPr>
          <w:p w14:paraId="62E6EDAA" w14:textId="45470BA3" w:rsidR="2048610B" w:rsidRDefault="2048610B" w:rsidP="2048610B">
            <w:pPr>
              <w:spacing w:before="120"/>
              <w:jc w:val="center"/>
              <w:rPr>
                <w:rFonts w:ascii="Arial" w:hAnsi="Arial" w:cs="Arial"/>
                <w:color w:val="000000" w:themeColor="text1"/>
              </w:rPr>
            </w:pPr>
            <w:r w:rsidRPr="2048610B">
              <w:rPr>
                <w:rFonts w:ascii="Arial" w:hAnsi="Arial" w:cs="Arial"/>
                <w:color w:val="000000" w:themeColor="text1"/>
              </w:rPr>
              <w:t>8.25%</w:t>
            </w:r>
          </w:p>
        </w:tc>
        <w:tc>
          <w:tcPr>
            <w:tcW w:w="2386" w:type="dxa"/>
            <w:shd w:val="clear" w:color="auto" w:fill="FFFF00"/>
          </w:tcPr>
          <w:p w14:paraId="2CE0976B" w14:textId="71FFBDE7" w:rsidR="2048610B" w:rsidRDefault="2048610B" w:rsidP="2048610B">
            <w:pPr>
              <w:spacing w:before="120"/>
              <w:jc w:val="center"/>
              <w:rPr>
                <w:rFonts w:ascii="Arial" w:hAnsi="Arial" w:cs="Arial"/>
                <w:color w:val="000000" w:themeColor="text1"/>
              </w:rPr>
            </w:pPr>
            <w:r w:rsidRPr="2048610B">
              <w:rPr>
                <w:rFonts w:ascii="Arial" w:hAnsi="Arial" w:cs="Arial"/>
                <w:color w:val="000000" w:themeColor="text1"/>
              </w:rPr>
              <w:t>91.75%</w:t>
            </w:r>
          </w:p>
        </w:tc>
      </w:tr>
      <w:tr w:rsidR="000771CB" w:rsidRPr="00FA5A13" w14:paraId="1326E24B" w14:textId="77777777" w:rsidTr="2048610B">
        <w:tc>
          <w:tcPr>
            <w:tcW w:w="2380" w:type="dxa"/>
          </w:tcPr>
          <w:p w14:paraId="1AB07638" w14:textId="0CA85724" w:rsidR="48FB1341" w:rsidRDefault="48FB1341" w:rsidP="48FB1341">
            <w:pPr>
              <w:spacing w:before="120"/>
              <w:jc w:val="both"/>
              <w:rPr>
                <w:rFonts w:ascii="Arial" w:eastAsia="Arial" w:hAnsi="Arial" w:cs="Arial"/>
                <w:color w:val="000000" w:themeColor="text1"/>
              </w:rPr>
            </w:pPr>
            <w:r w:rsidRPr="48FB1341">
              <w:rPr>
                <w:rFonts w:ascii="Arial" w:eastAsia="Arial" w:hAnsi="Arial" w:cs="Arial"/>
                <w:color w:val="000000" w:themeColor="text1"/>
              </w:rPr>
              <w:t xml:space="preserve">Lower middle       </w:t>
            </w:r>
          </w:p>
        </w:tc>
        <w:tc>
          <w:tcPr>
            <w:tcW w:w="2316" w:type="dxa"/>
            <w:shd w:val="clear" w:color="auto" w:fill="FFFF00"/>
          </w:tcPr>
          <w:p w14:paraId="6A5A568C" w14:textId="2B09D126" w:rsidR="2048610B" w:rsidRDefault="2048610B" w:rsidP="2048610B">
            <w:pPr>
              <w:spacing w:before="120"/>
              <w:jc w:val="center"/>
              <w:rPr>
                <w:rFonts w:ascii="Arial" w:hAnsi="Arial" w:cs="Arial"/>
                <w:color w:val="000000" w:themeColor="text1"/>
              </w:rPr>
            </w:pPr>
            <w:r w:rsidRPr="2048610B">
              <w:rPr>
                <w:rFonts w:ascii="Arial" w:hAnsi="Arial" w:cs="Arial"/>
                <w:color w:val="000000" w:themeColor="text1"/>
              </w:rPr>
              <w:t>2.06%</w:t>
            </w:r>
          </w:p>
        </w:tc>
        <w:tc>
          <w:tcPr>
            <w:tcW w:w="2386" w:type="dxa"/>
            <w:shd w:val="clear" w:color="auto" w:fill="FFFF00"/>
          </w:tcPr>
          <w:p w14:paraId="234C5501" w14:textId="52C66F59" w:rsidR="2048610B" w:rsidRDefault="2048610B" w:rsidP="2048610B">
            <w:pPr>
              <w:spacing w:before="120"/>
              <w:jc w:val="center"/>
              <w:rPr>
                <w:rFonts w:ascii="Arial" w:hAnsi="Arial" w:cs="Arial"/>
              </w:rPr>
            </w:pPr>
            <w:r w:rsidRPr="2048610B">
              <w:rPr>
                <w:rFonts w:ascii="Arial" w:hAnsi="Arial" w:cs="Arial"/>
              </w:rPr>
              <w:t>97.94%</w:t>
            </w:r>
          </w:p>
        </w:tc>
      </w:tr>
      <w:tr w:rsidR="000771CB" w:rsidRPr="00FA5A13" w14:paraId="5A727AE9" w14:textId="77777777" w:rsidTr="2048610B">
        <w:tc>
          <w:tcPr>
            <w:tcW w:w="2380" w:type="dxa"/>
          </w:tcPr>
          <w:p w14:paraId="7EFBEA70" w14:textId="2EAC0DC9" w:rsidR="48FB1341" w:rsidRDefault="48FB1341" w:rsidP="48FB1341">
            <w:pPr>
              <w:spacing w:before="120"/>
              <w:jc w:val="both"/>
              <w:rPr>
                <w:rFonts w:ascii="Arial" w:eastAsia="Arial" w:hAnsi="Arial" w:cs="Arial"/>
                <w:color w:val="000000" w:themeColor="text1"/>
              </w:rPr>
            </w:pPr>
            <w:r w:rsidRPr="48FB1341">
              <w:rPr>
                <w:rFonts w:ascii="Arial" w:eastAsia="Arial" w:hAnsi="Arial" w:cs="Arial"/>
                <w:color w:val="000000" w:themeColor="text1"/>
              </w:rPr>
              <w:t xml:space="preserve">Upper middle       </w:t>
            </w:r>
          </w:p>
        </w:tc>
        <w:tc>
          <w:tcPr>
            <w:tcW w:w="2316" w:type="dxa"/>
            <w:shd w:val="clear" w:color="auto" w:fill="FFFF00"/>
          </w:tcPr>
          <w:p w14:paraId="5B2E80F5" w14:textId="116990FF" w:rsidR="2048610B" w:rsidRDefault="2048610B" w:rsidP="2048610B">
            <w:pPr>
              <w:spacing w:before="120"/>
              <w:jc w:val="center"/>
              <w:rPr>
                <w:rFonts w:ascii="Arial" w:hAnsi="Arial" w:cs="Arial"/>
                <w:color w:val="000000" w:themeColor="text1"/>
              </w:rPr>
            </w:pPr>
            <w:r w:rsidRPr="2048610B">
              <w:rPr>
                <w:rFonts w:ascii="Arial" w:hAnsi="Arial" w:cs="Arial"/>
                <w:color w:val="000000" w:themeColor="text1"/>
              </w:rPr>
              <w:t>20.62%</w:t>
            </w:r>
          </w:p>
        </w:tc>
        <w:tc>
          <w:tcPr>
            <w:tcW w:w="2386" w:type="dxa"/>
            <w:shd w:val="clear" w:color="auto" w:fill="FFFF00"/>
          </w:tcPr>
          <w:p w14:paraId="2BB3EB9D" w14:textId="6BC4DA7B" w:rsidR="2048610B" w:rsidRDefault="2048610B" w:rsidP="2048610B">
            <w:pPr>
              <w:spacing w:before="120"/>
              <w:jc w:val="center"/>
              <w:rPr>
                <w:rFonts w:ascii="Arial" w:hAnsi="Arial" w:cs="Arial"/>
              </w:rPr>
            </w:pPr>
            <w:r w:rsidRPr="2048610B">
              <w:rPr>
                <w:rFonts w:ascii="Arial" w:hAnsi="Arial" w:cs="Arial"/>
              </w:rPr>
              <w:t>79.38%</w:t>
            </w:r>
          </w:p>
        </w:tc>
      </w:tr>
      <w:tr w:rsidR="000771CB" w:rsidRPr="00FA5A13" w14:paraId="5FB0C068" w14:textId="77777777" w:rsidTr="2048610B">
        <w:tc>
          <w:tcPr>
            <w:tcW w:w="2380" w:type="dxa"/>
          </w:tcPr>
          <w:p w14:paraId="34ED8A0E" w14:textId="0F8C9A39" w:rsidR="48FB1341" w:rsidRDefault="48FB1341" w:rsidP="48FB1341">
            <w:pPr>
              <w:spacing w:before="120"/>
              <w:jc w:val="both"/>
              <w:rPr>
                <w:rFonts w:ascii="Arial" w:eastAsia="Arial" w:hAnsi="Arial" w:cs="Arial"/>
                <w:color w:val="000000" w:themeColor="text1"/>
              </w:rPr>
            </w:pPr>
            <w:r w:rsidRPr="48FB1341">
              <w:rPr>
                <w:rFonts w:ascii="Arial" w:eastAsia="Arial" w:hAnsi="Arial" w:cs="Arial"/>
                <w:color w:val="000000" w:themeColor="text1"/>
              </w:rPr>
              <w:t xml:space="preserve">Upper (highest)  </w:t>
            </w:r>
          </w:p>
        </w:tc>
        <w:tc>
          <w:tcPr>
            <w:tcW w:w="2316" w:type="dxa"/>
            <w:shd w:val="clear" w:color="auto" w:fill="FFFF00"/>
          </w:tcPr>
          <w:p w14:paraId="0878907D" w14:textId="3D9C24A9" w:rsidR="2048610B" w:rsidRDefault="2048610B" w:rsidP="2048610B">
            <w:pPr>
              <w:spacing w:before="120"/>
              <w:jc w:val="center"/>
              <w:rPr>
                <w:rFonts w:ascii="Arial" w:hAnsi="Arial" w:cs="Arial"/>
                <w:color w:val="000000" w:themeColor="text1"/>
              </w:rPr>
            </w:pPr>
            <w:r w:rsidRPr="2048610B">
              <w:rPr>
                <w:rFonts w:ascii="Arial" w:hAnsi="Arial" w:cs="Arial"/>
                <w:color w:val="000000" w:themeColor="text1"/>
              </w:rPr>
              <w:t>16.33%</w:t>
            </w:r>
          </w:p>
        </w:tc>
        <w:tc>
          <w:tcPr>
            <w:tcW w:w="2386" w:type="dxa"/>
            <w:shd w:val="clear" w:color="auto" w:fill="FFFF00"/>
          </w:tcPr>
          <w:p w14:paraId="35C85D70" w14:textId="14DAABC1" w:rsidR="2048610B" w:rsidRDefault="2048610B" w:rsidP="2048610B">
            <w:pPr>
              <w:spacing w:before="120"/>
              <w:jc w:val="center"/>
              <w:rPr>
                <w:rFonts w:ascii="Arial" w:hAnsi="Arial" w:cs="Arial"/>
              </w:rPr>
            </w:pPr>
            <w:r w:rsidRPr="2048610B">
              <w:rPr>
                <w:rFonts w:ascii="Arial" w:hAnsi="Arial" w:cs="Arial"/>
              </w:rPr>
              <w:t>83.67%</w:t>
            </w:r>
          </w:p>
        </w:tc>
      </w:tr>
    </w:tbl>
    <w:p w14:paraId="76C58B44" w14:textId="77777777" w:rsidR="00567EFD" w:rsidRDefault="00567EFD" w:rsidP="006B7F4D">
      <w:pPr>
        <w:autoSpaceDE w:val="0"/>
        <w:autoSpaceDN w:val="0"/>
        <w:adjustRightInd w:val="0"/>
        <w:spacing w:before="120"/>
        <w:jc w:val="both"/>
        <w:rPr>
          <w:rFonts w:ascii="Arial" w:hAnsi="Arial" w:cs="Arial"/>
          <w:color w:val="000000"/>
        </w:rPr>
      </w:pPr>
    </w:p>
    <w:p w14:paraId="4461CFA9" w14:textId="33A10E0D" w:rsidR="0089680C" w:rsidRPr="00C0075B" w:rsidRDefault="006B7F4D" w:rsidP="006B7F4D">
      <w:pPr>
        <w:autoSpaceDE w:val="0"/>
        <w:autoSpaceDN w:val="0"/>
        <w:adjustRightInd w:val="0"/>
        <w:spacing w:before="120"/>
        <w:jc w:val="both"/>
        <w:rPr>
          <w:rFonts w:ascii="Arial" w:hAnsi="Arial" w:cs="Arial"/>
          <w:color w:val="000000"/>
        </w:rPr>
      </w:pPr>
      <w:r w:rsidRPr="00FA5A13">
        <w:rPr>
          <w:rFonts w:ascii="Arial" w:hAnsi="Arial" w:cs="Arial"/>
          <w:color w:val="000000"/>
        </w:rPr>
        <w:t>Age UK Hertfordshire is</w:t>
      </w:r>
      <w:r w:rsidR="009E264A">
        <w:rPr>
          <w:rFonts w:ascii="Arial" w:hAnsi="Arial" w:cs="Arial"/>
          <w:color w:val="000000"/>
        </w:rPr>
        <w:t xml:space="preserve"> </w:t>
      </w:r>
      <w:r w:rsidRPr="00FA5A13">
        <w:rPr>
          <w:rFonts w:ascii="Arial" w:hAnsi="Arial" w:cs="Arial"/>
          <w:color w:val="000000"/>
        </w:rPr>
        <w:t xml:space="preserve">reporting </w:t>
      </w:r>
      <w:r w:rsidR="002A540D">
        <w:rPr>
          <w:rFonts w:ascii="Arial" w:hAnsi="Arial" w:cs="Arial"/>
          <w:color w:val="000000"/>
        </w:rPr>
        <w:t>both a mean and median</w:t>
      </w:r>
      <w:r w:rsidR="00915054">
        <w:rPr>
          <w:rFonts w:ascii="Arial" w:hAnsi="Arial" w:cs="Arial"/>
          <w:color w:val="000000"/>
        </w:rPr>
        <w:t xml:space="preserve"> gender</w:t>
      </w:r>
      <w:r w:rsidRPr="00FA5A13">
        <w:rPr>
          <w:rFonts w:ascii="Arial" w:hAnsi="Arial" w:cs="Arial"/>
          <w:color w:val="000000"/>
        </w:rPr>
        <w:t xml:space="preserve"> pay gap</w:t>
      </w:r>
      <w:r w:rsidR="00D10E98">
        <w:rPr>
          <w:rFonts w:ascii="Arial" w:hAnsi="Arial" w:cs="Arial"/>
          <w:color w:val="000000"/>
        </w:rPr>
        <w:t xml:space="preserve">. </w:t>
      </w:r>
      <w:r w:rsidRPr="00FA5A13">
        <w:rPr>
          <w:rFonts w:ascii="Arial" w:hAnsi="Arial" w:cs="Arial"/>
          <w:color w:val="000000"/>
        </w:rPr>
        <w:t>The main reason for this is the fact that we have a predominantly female workforce and a very small total number of male staff. In addition</w:t>
      </w:r>
      <w:r w:rsidR="002E5FDF">
        <w:rPr>
          <w:rFonts w:ascii="Arial" w:hAnsi="Arial" w:cs="Arial"/>
          <w:color w:val="000000"/>
        </w:rPr>
        <w:t>,</w:t>
      </w:r>
      <w:r w:rsidRPr="00FA5A13">
        <w:rPr>
          <w:rFonts w:ascii="Arial" w:hAnsi="Arial" w:cs="Arial"/>
          <w:color w:val="000000"/>
        </w:rPr>
        <w:t xml:space="preserve"> the largest part of our workforce is made up of casual workers in Home Helper roles, which tend to attract more female staff. Therefore, even small fluctuations in the female workforce</w:t>
      </w:r>
      <w:r>
        <w:rPr>
          <w:rFonts w:ascii="Arial" w:hAnsi="Arial" w:cs="Arial"/>
          <w:color w:val="000000"/>
        </w:rPr>
        <w:t xml:space="preserve"> or roles undertaken by male staff</w:t>
      </w:r>
      <w:r w:rsidRPr="00FA5A13">
        <w:rPr>
          <w:rFonts w:ascii="Arial" w:hAnsi="Arial" w:cs="Arial"/>
          <w:color w:val="000000"/>
        </w:rPr>
        <w:t xml:space="preserve"> can have a significant impact on our gender pay gap.</w:t>
      </w:r>
    </w:p>
    <w:p w14:paraId="03D76AD3" w14:textId="77777777" w:rsidR="006B7F4D" w:rsidRPr="00FA5A13" w:rsidRDefault="006B7F4D" w:rsidP="006B7F4D">
      <w:pPr>
        <w:autoSpaceDE w:val="0"/>
        <w:autoSpaceDN w:val="0"/>
        <w:adjustRightInd w:val="0"/>
        <w:spacing w:before="120"/>
        <w:jc w:val="both"/>
        <w:rPr>
          <w:rFonts w:ascii="Arial" w:hAnsi="Arial" w:cs="Arial"/>
          <w:b/>
          <w:bCs/>
        </w:rPr>
      </w:pPr>
      <w:r w:rsidRPr="75F3C0CB">
        <w:rPr>
          <w:rFonts w:ascii="Arial" w:hAnsi="Arial" w:cs="Arial"/>
          <w:b/>
          <w:bCs/>
        </w:rPr>
        <w:lastRenderedPageBreak/>
        <w:t>What is causing our Gender Pay Gap?</w:t>
      </w:r>
    </w:p>
    <w:p w14:paraId="41617B56" w14:textId="09097CD1" w:rsidR="3A612615" w:rsidRDefault="3A612615" w:rsidP="2048610B">
      <w:pPr>
        <w:spacing w:before="120" w:after="240"/>
        <w:jc w:val="both"/>
        <w:rPr>
          <w:rFonts w:ascii="Arial" w:hAnsi="Arial" w:cs="Arial"/>
          <w:highlight w:val="yellow"/>
        </w:rPr>
      </w:pPr>
      <w:r w:rsidRPr="2048610B">
        <w:rPr>
          <w:rFonts w:ascii="Arial" w:hAnsi="Arial" w:cs="Arial"/>
          <w:highlight w:val="yellow"/>
        </w:rPr>
        <w:t xml:space="preserve">This year, the mean gender pay gap dropped from </w:t>
      </w:r>
      <w:r w:rsidR="41EB73B1" w:rsidRPr="2048610B">
        <w:rPr>
          <w:rFonts w:ascii="Arial" w:hAnsi="Arial" w:cs="Arial"/>
          <w:highlight w:val="yellow"/>
        </w:rPr>
        <w:t>9.17</w:t>
      </w:r>
      <w:r w:rsidRPr="2048610B">
        <w:rPr>
          <w:rFonts w:ascii="Arial" w:hAnsi="Arial" w:cs="Arial"/>
          <w:highlight w:val="yellow"/>
        </w:rPr>
        <w:t xml:space="preserve">% to </w:t>
      </w:r>
      <w:r w:rsidR="6F8677D4" w:rsidRPr="2048610B">
        <w:rPr>
          <w:rFonts w:ascii="Arial" w:hAnsi="Arial" w:cs="Arial"/>
          <w:highlight w:val="yellow"/>
        </w:rPr>
        <w:t>6.05</w:t>
      </w:r>
      <w:r w:rsidRPr="2048610B">
        <w:rPr>
          <w:rFonts w:ascii="Arial" w:hAnsi="Arial" w:cs="Arial"/>
          <w:highlight w:val="yellow"/>
        </w:rPr>
        <w:t>%, showing the average male hourly pay in the organisation is still higher than that of females</w:t>
      </w:r>
      <w:r w:rsidR="15D3B123" w:rsidRPr="2048610B">
        <w:rPr>
          <w:rFonts w:ascii="Arial" w:hAnsi="Arial" w:cs="Arial"/>
          <w:highlight w:val="yellow"/>
        </w:rPr>
        <w:t>. H</w:t>
      </w:r>
      <w:r w:rsidR="45B59357" w:rsidRPr="2048610B">
        <w:rPr>
          <w:rFonts w:ascii="Arial" w:hAnsi="Arial" w:cs="Arial"/>
          <w:highlight w:val="yellow"/>
        </w:rPr>
        <w:t xml:space="preserve">owever, </w:t>
      </w:r>
      <w:r w:rsidR="091FBB09" w:rsidRPr="2048610B">
        <w:rPr>
          <w:rFonts w:ascii="Arial" w:hAnsi="Arial" w:cs="Arial"/>
          <w:highlight w:val="yellow"/>
        </w:rPr>
        <w:t xml:space="preserve">the </w:t>
      </w:r>
      <w:r w:rsidR="45B59357" w:rsidRPr="2048610B">
        <w:rPr>
          <w:rFonts w:ascii="Arial" w:hAnsi="Arial" w:cs="Arial"/>
          <w:highlight w:val="yellow"/>
        </w:rPr>
        <w:t xml:space="preserve">median </w:t>
      </w:r>
      <w:r w:rsidR="6F82D238" w:rsidRPr="2048610B">
        <w:rPr>
          <w:rFonts w:ascii="Arial" w:hAnsi="Arial" w:cs="Arial"/>
          <w:highlight w:val="yellow"/>
        </w:rPr>
        <w:t xml:space="preserve">gender </w:t>
      </w:r>
      <w:r w:rsidR="45B59357" w:rsidRPr="2048610B">
        <w:rPr>
          <w:rFonts w:ascii="Arial" w:hAnsi="Arial" w:cs="Arial"/>
          <w:highlight w:val="yellow"/>
        </w:rPr>
        <w:t>pay gap at 0.85%</w:t>
      </w:r>
      <w:r w:rsidR="56150201" w:rsidRPr="2048610B">
        <w:rPr>
          <w:rFonts w:ascii="Arial" w:hAnsi="Arial" w:cs="Arial"/>
          <w:highlight w:val="yellow"/>
        </w:rPr>
        <w:t xml:space="preserve"> indicates that</w:t>
      </w:r>
      <w:r w:rsidR="45B59357" w:rsidRPr="2048610B">
        <w:rPr>
          <w:rFonts w:ascii="Arial" w:hAnsi="Arial" w:cs="Arial"/>
          <w:highlight w:val="yellow"/>
        </w:rPr>
        <w:t xml:space="preserve"> the </w:t>
      </w:r>
      <w:r w:rsidR="38B651EF" w:rsidRPr="2048610B">
        <w:rPr>
          <w:rFonts w:ascii="Arial" w:hAnsi="Arial" w:cs="Arial"/>
          <w:highlight w:val="yellow"/>
        </w:rPr>
        <w:t xml:space="preserve">gender </w:t>
      </w:r>
      <w:r w:rsidR="45B59357" w:rsidRPr="2048610B">
        <w:rPr>
          <w:rFonts w:ascii="Arial" w:hAnsi="Arial" w:cs="Arial"/>
          <w:highlight w:val="yellow"/>
        </w:rPr>
        <w:t xml:space="preserve">distribution across different pay grades </w:t>
      </w:r>
      <w:r w:rsidR="7E45BD52" w:rsidRPr="2048610B">
        <w:rPr>
          <w:rFonts w:ascii="Arial" w:hAnsi="Arial" w:cs="Arial"/>
          <w:highlight w:val="yellow"/>
        </w:rPr>
        <w:t xml:space="preserve">became more </w:t>
      </w:r>
      <w:r w:rsidR="041A9EBE" w:rsidRPr="2048610B">
        <w:rPr>
          <w:rFonts w:ascii="Arial" w:hAnsi="Arial" w:cs="Arial"/>
          <w:highlight w:val="yellow"/>
        </w:rPr>
        <w:t>even</w:t>
      </w:r>
      <w:r w:rsidR="7E45BD52" w:rsidRPr="2048610B">
        <w:rPr>
          <w:rFonts w:ascii="Arial" w:hAnsi="Arial" w:cs="Arial"/>
          <w:highlight w:val="yellow"/>
        </w:rPr>
        <w:t>.</w:t>
      </w:r>
      <w:r w:rsidR="24EAC2CF" w:rsidRPr="2048610B">
        <w:rPr>
          <w:rFonts w:ascii="Arial" w:hAnsi="Arial" w:cs="Arial"/>
          <w:highlight w:val="yellow"/>
        </w:rPr>
        <w:t xml:space="preserve"> </w:t>
      </w:r>
    </w:p>
    <w:p w14:paraId="5979DC15" w14:textId="03ADE601" w:rsidR="008D3E7B" w:rsidRPr="0089680C" w:rsidRDefault="6EC2FD42" w:rsidP="2048610B">
      <w:pPr>
        <w:autoSpaceDE w:val="0"/>
        <w:autoSpaceDN w:val="0"/>
        <w:adjustRightInd w:val="0"/>
        <w:spacing w:before="120" w:after="240"/>
        <w:jc w:val="both"/>
        <w:rPr>
          <w:rFonts w:ascii="Arial" w:hAnsi="Arial" w:cs="Arial"/>
          <w:highlight w:val="yellow"/>
        </w:rPr>
      </w:pPr>
      <w:r w:rsidRPr="2048610B">
        <w:rPr>
          <w:rFonts w:ascii="Arial" w:hAnsi="Arial" w:cs="Arial"/>
          <w:highlight w:val="yellow"/>
        </w:rPr>
        <w:t xml:space="preserve">Following the broader </w:t>
      </w:r>
      <w:r w:rsidR="192CA144" w:rsidRPr="2048610B">
        <w:rPr>
          <w:rFonts w:ascii="Arial" w:hAnsi="Arial" w:cs="Arial"/>
          <w:highlight w:val="yellow"/>
        </w:rPr>
        <w:t xml:space="preserve">UK </w:t>
      </w:r>
      <w:r w:rsidRPr="2048610B">
        <w:rPr>
          <w:rFonts w:ascii="Arial" w:hAnsi="Arial" w:cs="Arial"/>
          <w:highlight w:val="yellow"/>
        </w:rPr>
        <w:t>population trends, our gender pay gap for the full-time workforce is hi</w:t>
      </w:r>
      <w:r w:rsidR="3A48B679" w:rsidRPr="2048610B">
        <w:rPr>
          <w:rFonts w:ascii="Arial" w:hAnsi="Arial" w:cs="Arial"/>
          <w:highlight w:val="yellow"/>
        </w:rPr>
        <w:t>gher than that of part-time workers.</w:t>
      </w:r>
    </w:p>
    <w:p w14:paraId="3350F96C" w14:textId="46D6E024" w:rsidR="008D3E7B" w:rsidRPr="0089680C" w:rsidRDefault="33EC268F" w:rsidP="2048610B">
      <w:pPr>
        <w:autoSpaceDE w:val="0"/>
        <w:autoSpaceDN w:val="0"/>
        <w:adjustRightInd w:val="0"/>
        <w:spacing w:before="120" w:after="240"/>
        <w:jc w:val="both"/>
        <w:rPr>
          <w:rFonts w:ascii="Arial" w:hAnsi="Arial" w:cs="Arial"/>
          <w:highlight w:val="yellow"/>
        </w:rPr>
      </w:pPr>
      <w:r w:rsidRPr="2048610B">
        <w:rPr>
          <w:rFonts w:ascii="Arial" w:hAnsi="Arial" w:cs="Arial"/>
          <w:highlight w:val="yellow"/>
        </w:rPr>
        <w:t xml:space="preserve">In full-time roles, the mean gender pay gap is 13.98%, and the median gap is 3.48%, indicating that whilst male roles are distributed around different pay grades, we have more male staff in higher-paid full-time roles. </w:t>
      </w:r>
      <w:r w:rsidR="4387F698" w:rsidRPr="2048610B">
        <w:rPr>
          <w:rFonts w:ascii="Arial" w:hAnsi="Arial" w:cs="Arial"/>
          <w:highlight w:val="yellow"/>
        </w:rPr>
        <w:t xml:space="preserve">This reflects the general preference by female workers to work part-time. </w:t>
      </w:r>
    </w:p>
    <w:p w14:paraId="0A7403B7" w14:textId="30969BAF" w:rsidR="008D3E7B" w:rsidRPr="0089680C" w:rsidRDefault="33EC268F" w:rsidP="2048610B">
      <w:pPr>
        <w:autoSpaceDE w:val="0"/>
        <w:autoSpaceDN w:val="0"/>
        <w:adjustRightInd w:val="0"/>
        <w:spacing w:before="120" w:after="240"/>
        <w:jc w:val="both"/>
        <w:rPr>
          <w:rFonts w:ascii="Arial" w:hAnsi="Arial" w:cs="Arial"/>
          <w:highlight w:val="yellow"/>
        </w:rPr>
      </w:pPr>
      <w:r w:rsidRPr="2048610B">
        <w:rPr>
          <w:rFonts w:ascii="Arial" w:hAnsi="Arial" w:cs="Arial"/>
          <w:highlight w:val="yellow"/>
        </w:rPr>
        <w:t xml:space="preserve">On the other hand, the mean gender pay gap for part-time roles is 1.50%, and the median is 0.54%. It is much more balanced and contributes to the overall statistics, given that 88.14% of our workforce works part-time. </w:t>
      </w:r>
    </w:p>
    <w:p w14:paraId="0DCECDDB" w14:textId="5697D03C" w:rsidR="008D3E7B" w:rsidRPr="0089680C" w:rsidRDefault="33EC268F" w:rsidP="75F3C0CB">
      <w:pPr>
        <w:autoSpaceDE w:val="0"/>
        <w:autoSpaceDN w:val="0"/>
        <w:adjustRightInd w:val="0"/>
        <w:spacing w:before="120" w:after="240"/>
        <w:jc w:val="both"/>
        <w:rPr>
          <w:rFonts w:ascii="Arial" w:hAnsi="Arial" w:cs="Arial"/>
          <w:highlight w:val="yellow"/>
        </w:rPr>
      </w:pPr>
      <w:r w:rsidRPr="2048610B">
        <w:rPr>
          <w:rFonts w:ascii="Arial" w:hAnsi="Arial" w:cs="Arial"/>
          <w:highlight w:val="yellow"/>
        </w:rPr>
        <w:t>As was true in previous years, due to the small total number of male staff, any changes, whether in the types of posts held by male staff or in the overall number of male staff, can have a sizable impact on the gender pay gap figures.</w:t>
      </w:r>
      <w:r w:rsidRPr="2048610B">
        <w:rPr>
          <w:rFonts w:ascii="Arial" w:hAnsi="Arial" w:cs="Arial"/>
        </w:rPr>
        <w:t xml:space="preserve">  </w:t>
      </w:r>
      <w:r w:rsidR="3A612615" w:rsidRPr="2048610B">
        <w:rPr>
          <w:rFonts w:ascii="Arial" w:hAnsi="Arial" w:cs="Arial"/>
        </w:rPr>
        <w:t xml:space="preserve"> </w:t>
      </w:r>
    </w:p>
    <w:p w14:paraId="522D19AB" w14:textId="7BBB2A30" w:rsidR="008D3E7B" w:rsidRPr="0089680C" w:rsidRDefault="006B7F4D" w:rsidP="75F3C0CB">
      <w:pPr>
        <w:autoSpaceDE w:val="0"/>
        <w:autoSpaceDN w:val="0"/>
        <w:adjustRightInd w:val="0"/>
        <w:spacing w:before="120" w:after="240"/>
        <w:jc w:val="both"/>
        <w:rPr>
          <w:rFonts w:ascii="Arial" w:hAnsi="Arial" w:cs="Arial"/>
          <w:color w:val="000000"/>
        </w:rPr>
      </w:pPr>
      <w:r w:rsidRPr="75F3C0CB">
        <w:rPr>
          <w:rFonts w:ascii="Arial" w:hAnsi="Arial" w:cs="Arial"/>
          <w:color w:val="000000" w:themeColor="text1"/>
        </w:rPr>
        <w:t xml:space="preserve"> </w:t>
      </w:r>
    </w:p>
    <w:p w14:paraId="3744156E" w14:textId="77777777" w:rsidR="006B7F4D" w:rsidRPr="00FA5A13" w:rsidRDefault="006B7F4D" w:rsidP="006B7F4D">
      <w:pPr>
        <w:autoSpaceDE w:val="0"/>
        <w:autoSpaceDN w:val="0"/>
        <w:adjustRightInd w:val="0"/>
        <w:spacing w:before="120"/>
        <w:jc w:val="both"/>
        <w:rPr>
          <w:rFonts w:ascii="Arial" w:hAnsi="Arial" w:cs="Arial"/>
          <w:b/>
        </w:rPr>
      </w:pPr>
      <w:r w:rsidRPr="00FA5A13">
        <w:rPr>
          <w:rFonts w:ascii="Arial" w:hAnsi="Arial" w:cs="Arial"/>
          <w:b/>
          <w:color w:val="000000"/>
        </w:rPr>
        <w:t xml:space="preserve">What we are doing about our Gender Pay Gap </w:t>
      </w:r>
    </w:p>
    <w:p w14:paraId="49F6F53A" w14:textId="6BC18C98" w:rsidR="006B7F4D" w:rsidRPr="00FA5A13" w:rsidRDefault="006B7F4D" w:rsidP="00C16A72">
      <w:pPr>
        <w:autoSpaceDE w:val="0"/>
        <w:autoSpaceDN w:val="0"/>
        <w:adjustRightInd w:val="0"/>
        <w:spacing w:before="120" w:after="240"/>
        <w:jc w:val="both"/>
        <w:rPr>
          <w:rFonts w:ascii="Arial" w:hAnsi="Arial" w:cs="Arial"/>
          <w:color w:val="000000"/>
        </w:rPr>
      </w:pPr>
      <w:r w:rsidRPr="2048610B">
        <w:rPr>
          <w:rFonts w:ascii="Arial" w:hAnsi="Arial" w:cs="Arial"/>
          <w:color w:val="000000" w:themeColor="text1"/>
        </w:rPr>
        <w:t xml:space="preserve">Age UK Hertfordshire is committed to the </w:t>
      </w:r>
      <w:r w:rsidR="00145A64" w:rsidRPr="2048610B">
        <w:rPr>
          <w:rFonts w:ascii="Arial" w:hAnsi="Arial" w:cs="Arial"/>
          <w:color w:val="000000" w:themeColor="text1"/>
        </w:rPr>
        <w:t>application</w:t>
      </w:r>
      <w:r w:rsidRPr="2048610B">
        <w:rPr>
          <w:rFonts w:ascii="Arial" w:hAnsi="Arial" w:cs="Arial"/>
          <w:color w:val="000000" w:themeColor="text1"/>
        </w:rPr>
        <w:t xml:space="preserve"> of equal opportunities and equal treatment for all employees, regardless of sex, race, religion or belief, age, marriage or civil partnership, pregnancy/maternity, sexual orientation, gender reassignment or disability. It has a clear policy of paying employees equally for the same or equivalent work, regardless of their sex (or any other characteristic set out above). As such, it: </w:t>
      </w:r>
    </w:p>
    <w:p w14:paraId="4414FA8D" w14:textId="50222ED0" w:rsidR="2E493D5C" w:rsidRDefault="2E493D5C" w:rsidP="2048610B">
      <w:pPr>
        <w:numPr>
          <w:ilvl w:val="0"/>
          <w:numId w:val="14"/>
        </w:numPr>
        <w:spacing w:before="120" w:after="240"/>
        <w:jc w:val="both"/>
        <w:rPr>
          <w:rFonts w:ascii="Arial" w:hAnsi="Arial" w:cs="Arial"/>
          <w:color w:val="000000" w:themeColor="text1"/>
          <w:highlight w:val="yellow"/>
        </w:rPr>
      </w:pPr>
      <w:r w:rsidRPr="2048610B">
        <w:rPr>
          <w:rFonts w:ascii="Arial" w:hAnsi="Arial" w:cs="Arial"/>
          <w:color w:val="000000" w:themeColor="text1"/>
          <w:highlight w:val="yellow"/>
        </w:rPr>
        <w:t>h</w:t>
      </w:r>
      <w:r w:rsidR="44570C94" w:rsidRPr="2048610B">
        <w:rPr>
          <w:rFonts w:ascii="Arial" w:hAnsi="Arial" w:cs="Arial"/>
          <w:color w:val="000000" w:themeColor="text1"/>
          <w:highlight w:val="yellow"/>
        </w:rPr>
        <w:t xml:space="preserve">as a salary structure based on fair pay for </w:t>
      </w:r>
      <w:r w:rsidR="25482981" w:rsidRPr="2048610B">
        <w:rPr>
          <w:rFonts w:ascii="Arial" w:hAnsi="Arial" w:cs="Arial"/>
          <w:color w:val="000000" w:themeColor="text1"/>
          <w:highlight w:val="yellow"/>
        </w:rPr>
        <w:t xml:space="preserve">their </w:t>
      </w:r>
      <w:r w:rsidR="44570C94" w:rsidRPr="2048610B">
        <w:rPr>
          <w:rFonts w:ascii="Arial" w:hAnsi="Arial" w:cs="Arial"/>
          <w:color w:val="000000" w:themeColor="text1"/>
          <w:highlight w:val="yellow"/>
        </w:rPr>
        <w:t xml:space="preserve">roles and responsibilities, rather than </w:t>
      </w:r>
      <w:r w:rsidR="48083F8C" w:rsidRPr="2048610B">
        <w:rPr>
          <w:rFonts w:ascii="Arial" w:hAnsi="Arial" w:cs="Arial"/>
          <w:color w:val="000000" w:themeColor="text1"/>
          <w:highlight w:val="yellow"/>
        </w:rPr>
        <w:t>increases based on performance</w:t>
      </w:r>
      <w:r w:rsidR="048B433B" w:rsidRPr="2048610B">
        <w:rPr>
          <w:rFonts w:ascii="Arial" w:hAnsi="Arial" w:cs="Arial"/>
          <w:color w:val="000000" w:themeColor="text1"/>
          <w:highlight w:val="yellow"/>
        </w:rPr>
        <w:t xml:space="preserve"> and their previous pay</w:t>
      </w:r>
      <w:r w:rsidR="48083F8C" w:rsidRPr="2048610B">
        <w:rPr>
          <w:rFonts w:ascii="Arial" w:hAnsi="Arial" w:cs="Arial"/>
          <w:color w:val="000000" w:themeColor="text1"/>
          <w:highlight w:val="yellow"/>
        </w:rPr>
        <w:t>.</w:t>
      </w:r>
    </w:p>
    <w:p w14:paraId="1B065527" w14:textId="182A6D8B" w:rsidR="006D6934" w:rsidRPr="00C16A72" w:rsidRDefault="006B7F4D" w:rsidP="00C16A72">
      <w:pPr>
        <w:numPr>
          <w:ilvl w:val="0"/>
          <w:numId w:val="14"/>
        </w:numPr>
        <w:autoSpaceDE w:val="0"/>
        <w:autoSpaceDN w:val="0"/>
        <w:adjustRightInd w:val="0"/>
        <w:spacing w:before="120" w:after="240"/>
        <w:jc w:val="both"/>
        <w:rPr>
          <w:rFonts w:ascii="Arial" w:hAnsi="Arial" w:cs="Arial"/>
          <w:color w:val="000000"/>
        </w:rPr>
      </w:pPr>
      <w:r w:rsidRPr="2048610B">
        <w:rPr>
          <w:rFonts w:ascii="Arial" w:hAnsi="Arial" w:cs="Arial"/>
          <w:color w:val="000000" w:themeColor="text1"/>
        </w:rPr>
        <w:t xml:space="preserve">evaluates job roles </w:t>
      </w:r>
      <w:r w:rsidR="42F613E8" w:rsidRPr="2048610B">
        <w:rPr>
          <w:rFonts w:ascii="Arial" w:hAnsi="Arial" w:cs="Arial"/>
          <w:color w:val="000000" w:themeColor="text1"/>
          <w:highlight w:val="yellow"/>
        </w:rPr>
        <w:t xml:space="preserve">using </w:t>
      </w:r>
      <w:r w:rsidR="2386DDF2" w:rsidRPr="2048610B">
        <w:rPr>
          <w:rFonts w:ascii="Arial" w:hAnsi="Arial" w:cs="Arial"/>
          <w:color w:val="000000" w:themeColor="text1"/>
          <w:highlight w:val="yellow"/>
        </w:rPr>
        <w:t>external benchmarking</w:t>
      </w:r>
      <w:r w:rsidR="7B4055F1" w:rsidRPr="2048610B">
        <w:rPr>
          <w:rFonts w:ascii="Arial" w:hAnsi="Arial" w:cs="Arial"/>
          <w:color w:val="000000" w:themeColor="text1"/>
        </w:rPr>
        <w:t xml:space="preserve"> </w:t>
      </w:r>
      <w:r w:rsidRPr="2048610B">
        <w:rPr>
          <w:rFonts w:ascii="Arial" w:hAnsi="Arial" w:cs="Arial"/>
          <w:color w:val="000000" w:themeColor="text1"/>
        </w:rPr>
        <w:t xml:space="preserve">as necessary to ensure a fair structure. </w:t>
      </w:r>
    </w:p>
    <w:p w14:paraId="7A84A158" w14:textId="77777777" w:rsidR="006B7F4D" w:rsidRPr="00FA5A13" w:rsidRDefault="006B7F4D" w:rsidP="006B7F4D">
      <w:pPr>
        <w:autoSpaceDE w:val="0"/>
        <w:autoSpaceDN w:val="0"/>
        <w:adjustRightInd w:val="0"/>
        <w:spacing w:before="120"/>
        <w:jc w:val="both"/>
        <w:rPr>
          <w:rFonts w:ascii="Arial" w:hAnsi="Arial" w:cs="Arial"/>
        </w:rPr>
      </w:pPr>
      <w:r w:rsidRPr="00FA5A13">
        <w:rPr>
          <w:rFonts w:ascii="Arial" w:hAnsi="Arial" w:cs="Arial"/>
          <w:color w:val="000000"/>
        </w:rPr>
        <w:t xml:space="preserve">Age UK Hertfordshire is therefore confident that its gender pay gap does not stem from paying men and women differently for the same or equivalent work. Rather its gender pay gap is the result of the proportion of women to men within the organisation, the roles in which men and women work within the organisation and the salaries that these roles attract. </w:t>
      </w:r>
    </w:p>
    <w:p w14:paraId="76261B74" w14:textId="071F8984" w:rsidR="00B10133" w:rsidRPr="00B10133" w:rsidRDefault="006B7F4D" w:rsidP="00B10133">
      <w:pPr>
        <w:autoSpaceDE w:val="0"/>
        <w:autoSpaceDN w:val="0"/>
        <w:adjustRightInd w:val="0"/>
        <w:spacing w:before="120" w:after="240"/>
        <w:jc w:val="both"/>
        <w:rPr>
          <w:rFonts w:ascii="Arial" w:hAnsi="Arial" w:cs="Arial"/>
          <w:color w:val="000000"/>
        </w:rPr>
      </w:pPr>
      <w:r w:rsidRPr="00FA5A13">
        <w:rPr>
          <w:rFonts w:ascii="Arial" w:hAnsi="Arial" w:cs="Arial"/>
          <w:color w:val="000000"/>
        </w:rPr>
        <w:t xml:space="preserve">While Age UK Hertfordshire’s gender pay gap is </w:t>
      </w:r>
      <w:r>
        <w:rPr>
          <w:rFonts w:ascii="Arial" w:hAnsi="Arial" w:cs="Arial"/>
          <w:color w:val="000000"/>
        </w:rPr>
        <w:t xml:space="preserve">in </w:t>
      </w:r>
      <w:r w:rsidRPr="00FA5A13">
        <w:rPr>
          <w:rFonts w:ascii="Arial" w:hAnsi="Arial" w:cs="Arial"/>
          <w:color w:val="000000"/>
        </w:rPr>
        <w:t xml:space="preserve">line with that of other organisations within the voluntary sector, Age UK Hertfordshire is committed to doing everything it </w:t>
      </w:r>
      <w:r w:rsidRPr="00E77011">
        <w:rPr>
          <w:rFonts w:ascii="Arial" w:hAnsi="Arial" w:cs="Arial"/>
          <w:color w:val="000000"/>
        </w:rPr>
        <w:t xml:space="preserve">can to maintain and, if possible, reduce the gap.  </w:t>
      </w:r>
    </w:p>
    <w:p w14:paraId="318BFAAD" w14:textId="2DC05D41" w:rsidR="00B10133" w:rsidRDefault="00333959" w:rsidP="00B10133">
      <w:pPr>
        <w:autoSpaceDE w:val="0"/>
        <w:autoSpaceDN w:val="0"/>
        <w:adjustRightInd w:val="0"/>
        <w:spacing w:before="120"/>
        <w:jc w:val="both"/>
        <w:rPr>
          <w:rFonts w:ascii="Arial" w:hAnsi="Arial" w:cs="Arial"/>
        </w:rPr>
      </w:pPr>
      <w:r w:rsidRPr="00E77011">
        <w:rPr>
          <w:rFonts w:ascii="Arial" w:hAnsi="Arial" w:cs="Arial"/>
        </w:rPr>
        <w:t>As an example of this,</w:t>
      </w:r>
      <w:r w:rsidR="002E491F">
        <w:rPr>
          <w:rFonts w:ascii="Arial" w:hAnsi="Arial" w:cs="Arial"/>
        </w:rPr>
        <w:t xml:space="preserve"> </w:t>
      </w:r>
      <w:r w:rsidR="00F132C3" w:rsidRPr="00E77011">
        <w:rPr>
          <w:rFonts w:ascii="Arial" w:hAnsi="Arial" w:cs="Arial"/>
        </w:rPr>
        <w:t xml:space="preserve">we </w:t>
      </w:r>
      <w:r w:rsidR="003A6DEE">
        <w:rPr>
          <w:rFonts w:ascii="Arial" w:hAnsi="Arial" w:cs="Arial"/>
        </w:rPr>
        <w:t>have</w:t>
      </w:r>
      <w:r w:rsidR="00B10133">
        <w:rPr>
          <w:rFonts w:ascii="Arial" w:hAnsi="Arial" w:cs="Arial"/>
        </w:rPr>
        <w:t>:</w:t>
      </w:r>
    </w:p>
    <w:p w14:paraId="088E9BD5" w14:textId="66EEDC4F" w:rsidR="00E03201" w:rsidRDefault="005D57DB" w:rsidP="0036043F">
      <w:pPr>
        <w:pStyle w:val="ListParagraph"/>
        <w:numPr>
          <w:ilvl w:val="0"/>
          <w:numId w:val="24"/>
        </w:numPr>
        <w:autoSpaceDE w:val="0"/>
        <w:autoSpaceDN w:val="0"/>
        <w:adjustRightInd w:val="0"/>
        <w:spacing w:before="120"/>
        <w:jc w:val="both"/>
        <w:rPr>
          <w:rFonts w:ascii="Arial" w:hAnsi="Arial" w:cs="Arial"/>
        </w:rPr>
      </w:pPr>
      <w:r w:rsidRPr="008D3E7B">
        <w:rPr>
          <w:rFonts w:ascii="Arial" w:hAnsi="Arial" w:cs="Arial"/>
        </w:rPr>
        <w:lastRenderedPageBreak/>
        <w:t>A</w:t>
      </w:r>
      <w:r w:rsidR="003A6DEE" w:rsidRPr="008D3E7B">
        <w:rPr>
          <w:rFonts w:ascii="Arial" w:hAnsi="Arial" w:cs="Arial"/>
        </w:rPr>
        <w:t>ssigned</w:t>
      </w:r>
      <w:r w:rsidR="00F132C3" w:rsidRPr="008D3E7B">
        <w:rPr>
          <w:rFonts w:ascii="Arial" w:hAnsi="Arial" w:cs="Arial"/>
        </w:rPr>
        <w:t xml:space="preserve"> </w:t>
      </w:r>
      <w:r w:rsidRPr="008D3E7B">
        <w:rPr>
          <w:rFonts w:ascii="Arial" w:hAnsi="Arial" w:cs="Arial"/>
        </w:rPr>
        <w:t xml:space="preserve">an </w:t>
      </w:r>
      <w:r w:rsidR="00F132C3" w:rsidRPr="008D3E7B">
        <w:rPr>
          <w:rFonts w:ascii="Arial" w:hAnsi="Arial" w:cs="Arial"/>
        </w:rPr>
        <w:t xml:space="preserve">Equality &amp; Diversity Champion </w:t>
      </w:r>
      <w:r w:rsidR="00AF03F5" w:rsidRPr="008D3E7B">
        <w:rPr>
          <w:rFonts w:ascii="Arial" w:hAnsi="Arial" w:cs="Arial"/>
        </w:rPr>
        <w:t>for</w:t>
      </w:r>
      <w:r w:rsidR="00F132C3" w:rsidRPr="008D3E7B">
        <w:rPr>
          <w:rFonts w:ascii="Arial" w:hAnsi="Arial" w:cs="Arial"/>
        </w:rPr>
        <w:t xml:space="preserve"> our organisation, </w:t>
      </w:r>
      <w:r w:rsidR="00AF03F5" w:rsidRPr="008D3E7B">
        <w:rPr>
          <w:rFonts w:ascii="Arial" w:hAnsi="Arial" w:cs="Arial"/>
        </w:rPr>
        <w:t xml:space="preserve">with the intent to ensure that we fully apply equality and inclusion throughout </w:t>
      </w:r>
      <w:r w:rsidR="005C2FBE" w:rsidRPr="008D3E7B">
        <w:rPr>
          <w:rFonts w:ascii="Arial" w:hAnsi="Arial" w:cs="Arial"/>
        </w:rPr>
        <w:t>all</w:t>
      </w:r>
      <w:r w:rsidR="00AF03F5" w:rsidRPr="008D3E7B">
        <w:rPr>
          <w:rFonts w:ascii="Arial" w:hAnsi="Arial" w:cs="Arial"/>
        </w:rPr>
        <w:t xml:space="preserve"> workplace pr</w:t>
      </w:r>
      <w:r w:rsidR="00F575B9" w:rsidRPr="008D3E7B">
        <w:rPr>
          <w:rFonts w:ascii="Arial" w:hAnsi="Arial" w:cs="Arial"/>
        </w:rPr>
        <w:t>actices</w:t>
      </w:r>
      <w:r w:rsidR="00AF03F5" w:rsidRPr="008D3E7B">
        <w:rPr>
          <w:rFonts w:ascii="Arial" w:hAnsi="Arial" w:cs="Arial"/>
        </w:rPr>
        <w:t>.</w:t>
      </w:r>
    </w:p>
    <w:p w14:paraId="14F7B5B1" w14:textId="77777777" w:rsidR="005D57DB" w:rsidRPr="005D57DB" w:rsidRDefault="005D57DB" w:rsidP="005D57DB">
      <w:pPr>
        <w:pStyle w:val="ListParagraph"/>
        <w:autoSpaceDE w:val="0"/>
        <w:autoSpaceDN w:val="0"/>
        <w:adjustRightInd w:val="0"/>
        <w:spacing w:before="120"/>
        <w:jc w:val="both"/>
        <w:rPr>
          <w:rFonts w:ascii="Arial" w:hAnsi="Arial" w:cs="Arial"/>
        </w:rPr>
      </w:pPr>
    </w:p>
    <w:p w14:paraId="094AAEC4" w14:textId="63D60F10" w:rsidR="00F132C3" w:rsidRPr="005D57DB" w:rsidRDefault="009E3889" w:rsidP="005D57DB">
      <w:pPr>
        <w:pStyle w:val="ListParagraph"/>
        <w:numPr>
          <w:ilvl w:val="0"/>
          <w:numId w:val="23"/>
        </w:numPr>
        <w:autoSpaceDE w:val="0"/>
        <w:autoSpaceDN w:val="0"/>
        <w:adjustRightInd w:val="0"/>
        <w:spacing w:before="120"/>
        <w:jc w:val="both"/>
        <w:rPr>
          <w:rFonts w:ascii="Arial" w:hAnsi="Arial" w:cs="Arial"/>
        </w:rPr>
      </w:pPr>
      <w:r>
        <w:rPr>
          <w:rFonts w:ascii="Arial" w:hAnsi="Arial" w:cs="Arial"/>
        </w:rPr>
        <w:t>Implemented</w:t>
      </w:r>
      <w:r w:rsidR="00C80A0D" w:rsidRPr="005D57DB">
        <w:rPr>
          <w:rFonts w:ascii="Arial" w:hAnsi="Arial" w:cs="Arial"/>
        </w:rPr>
        <w:t xml:space="preserve"> Equality and Diversity training </w:t>
      </w:r>
      <w:r w:rsidR="005D57DB">
        <w:rPr>
          <w:rFonts w:ascii="Arial" w:hAnsi="Arial" w:cs="Arial"/>
        </w:rPr>
        <w:t xml:space="preserve">as </w:t>
      </w:r>
      <w:r w:rsidR="00C80A0D" w:rsidRPr="005D57DB">
        <w:rPr>
          <w:rFonts w:ascii="Arial" w:hAnsi="Arial" w:cs="Arial"/>
        </w:rPr>
        <w:t>mandatory for all roles within the organisation.</w:t>
      </w:r>
    </w:p>
    <w:p w14:paraId="111F539F" w14:textId="77777777" w:rsidR="006B7F4D" w:rsidRPr="008B74FF" w:rsidRDefault="00AF03F5" w:rsidP="006B7F4D">
      <w:pPr>
        <w:autoSpaceDE w:val="0"/>
        <w:autoSpaceDN w:val="0"/>
        <w:adjustRightInd w:val="0"/>
        <w:spacing w:before="120"/>
        <w:jc w:val="both"/>
        <w:rPr>
          <w:rFonts w:ascii="Arial" w:hAnsi="Arial" w:cs="Arial"/>
        </w:rPr>
      </w:pPr>
      <w:r>
        <w:rPr>
          <w:rFonts w:ascii="Arial" w:hAnsi="Arial" w:cs="Arial"/>
        </w:rPr>
        <w:t xml:space="preserve">In addition, </w:t>
      </w:r>
      <w:r w:rsidR="00F575B9">
        <w:rPr>
          <w:rFonts w:ascii="Arial" w:hAnsi="Arial" w:cs="Arial"/>
        </w:rPr>
        <w:t>we continue to a</w:t>
      </w:r>
      <w:r w:rsidR="00F132C3">
        <w:rPr>
          <w:rFonts w:ascii="Arial" w:hAnsi="Arial" w:cs="Arial"/>
        </w:rPr>
        <w:t xml:space="preserve">ctively </w:t>
      </w:r>
      <w:r w:rsidR="00F575B9">
        <w:rPr>
          <w:rFonts w:ascii="Arial" w:hAnsi="Arial" w:cs="Arial"/>
        </w:rPr>
        <w:t>take</w:t>
      </w:r>
      <w:r w:rsidR="006B7F4D" w:rsidRPr="008B74FF">
        <w:rPr>
          <w:rFonts w:ascii="Arial" w:hAnsi="Arial" w:cs="Arial"/>
        </w:rPr>
        <w:t xml:space="preserve"> steps to effectively ensure we are an equal opportunities employer, by </w:t>
      </w:r>
    </w:p>
    <w:p w14:paraId="79D7B9FF" w14:textId="77777777" w:rsidR="006B7F4D" w:rsidRDefault="006B7F4D" w:rsidP="006B7F4D">
      <w:pPr>
        <w:pStyle w:val="ListParagraph"/>
        <w:numPr>
          <w:ilvl w:val="0"/>
          <w:numId w:val="22"/>
        </w:numPr>
        <w:autoSpaceDE w:val="0"/>
        <w:autoSpaceDN w:val="0"/>
        <w:adjustRightInd w:val="0"/>
        <w:spacing w:before="120"/>
        <w:jc w:val="both"/>
        <w:rPr>
          <w:rFonts w:ascii="Arial" w:hAnsi="Arial" w:cs="Arial"/>
        </w:rPr>
      </w:pPr>
      <w:r w:rsidRPr="008B74FF">
        <w:rPr>
          <w:rFonts w:ascii="Arial" w:hAnsi="Arial" w:cs="Arial"/>
        </w:rPr>
        <w:t>Distributing, and reporting to board level, on staff satisfaction through a survey, to gain staff feedback on areas including salaries and benefits that we offer.</w:t>
      </w:r>
    </w:p>
    <w:p w14:paraId="6E32B2A9" w14:textId="77777777" w:rsidR="009177F3" w:rsidRPr="008B74FF" w:rsidRDefault="009177F3" w:rsidP="009177F3">
      <w:pPr>
        <w:pStyle w:val="ListParagraph"/>
        <w:autoSpaceDE w:val="0"/>
        <w:autoSpaceDN w:val="0"/>
        <w:adjustRightInd w:val="0"/>
        <w:spacing w:before="120"/>
        <w:jc w:val="both"/>
        <w:rPr>
          <w:rFonts w:ascii="Arial" w:hAnsi="Arial" w:cs="Arial"/>
        </w:rPr>
      </w:pPr>
    </w:p>
    <w:p w14:paraId="64077787" w14:textId="73EFC498" w:rsidR="00F132C3" w:rsidRPr="00F132C3" w:rsidRDefault="006B7F4D" w:rsidP="00F132C3">
      <w:pPr>
        <w:pStyle w:val="ListParagraph"/>
        <w:numPr>
          <w:ilvl w:val="0"/>
          <w:numId w:val="22"/>
        </w:numPr>
        <w:autoSpaceDE w:val="0"/>
        <w:autoSpaceDN w:val="0"/>
        <w:adjustRightInd w:val="0"/>
        <w:spacing w:before="120"/>
        <w:jc w:val="both"/>
        <w:rPr>
          <w:rFonts w:ascii="Arial" w:hAnsi="Arial" w:cs="Arial"/>
        </w:rPr>
      </w:pPr>
      <w:r w:rsidRPr="008B74FF">
        <w:rPr>
          <w:rFonts w:ascii="Arial" w:hAnsi="Arial" w:cs="Arial"/>
        </w:rPr>
        <w:t xml:space="preserve">Ensuring that all employees have access to the same opportunities, such as training or job vacancies. </w:t>
      </w:r>
    </w:p>
    <w:p w14:paraId="0D8154AE" w14:textId="77777777" w:rsidR="006B7F4D" w:rsidRPr="00FA5A13" w:rsidRDefault="006B7F4D" w:rsidP="000E324C">
      <w:pPr>
        <w:autoSpaceDE w:val="0"/>
        <w:autoSpaceDN w:val="0"/>
        <w:adjustRightInd w:val="0"/>
        <w:spacing w:before="120"/>
        <w:rPr>
          <w:rFonts w:ascii="Arial" w:hAnsi="Arial" w:cs="Arial"/>
          <w:color w:val="000000"/>
        </w:rPr>
      </w:pPr>
      <w:r>
        <w:rPr>
          <w:rFonts w:ascii="Arial" w:hAnsi="Arial" w:cs="Arial"/>
          <w:color w:val="000000"/>
        </w:rPr>
        <w:t xml:space="preserve">We will </w:t>
      </w:r>
      <w:r w:rsidR="00AF03F5">
        <w:rPr>
          <w:rFonts w:ascii="Arial" w:hAnsi="Arial" w:cs="Arial"/>
          <w:color w:val="000000"/>
        </w:rPr>
        <w:t xml:space="preserve">also </w:t>
      </w:r>
      <w:r>
        <w:rPr>
          <w:rFonts w:ascii="Arial" w:hAnsi="Arial" w:cs="Arial"/>
          <w:color w:val="000000"/>
        </w:rPr>
        <w:t>continue to:</w:t>
      </w:r>
    </w:p>
    <w:p w14:paraId="359A5A7F" w14:textId="77777777" w:rsidR="006B7F4D" w:rsidRPr="00FA5A13" w:rsidRDefault="006B7F4D" w:rsidP="006B7F4D">
      <w:pPr>
        <w:numPr>
          <w:ilvl w:val="0"/>
          <w:numId w:val="15"/>
        </w:numPr>
        <w:autoSpaceDE w:val="0"/>
        <w:autoSpaceDN w:val="0"/>
        <w:adjustRightInd w:val="0"/>
        <w:spacing w:before="120"/>
        <w:jc w:val="both"/>
        <w:rPr>
          <w:rFonts w:ascii="Arial" w:hAnsi="Arial" w:cs="Arial"/>
          <w:color w:val="000000"/>
        </w:rPr>
      </w:pPr>
      <w:r>
        <w:rPr>
          <w:rFonts w:ascii="Arial" w:hAnsi="Arial" w:cs="Arial"/>
          <w:color w:val="000000"/>
        </w:rPr>
        <w:t>E</w:t>
      </w:r>
      <w:r w:rsidRPr="00FA5A13">
        <w:rPr>
          <w:rFonts w:ascii="Arial" w:hAnsi="Arial" w:cs="Arial"/>
          <w:color w:val="000000"/>
        </w:rPr>
        <w:t xml:space="preserve">valuate job roles and pay grades as necessary to ensure </w:t>
      </w:r>
      <w:r>
        <w:rPr>
          <w:rFonts w:ascii="Arial" w:hAnsi="Arial" w:cs="Arial"/>
          <w:color w:val="000000"/>
        </w:rPr>
        <w:t xml:space="preserve">consistency and </w:t>
      </w:r>
      <w:r w:rsidRPr="00FA5A13">
        <w:rPr>
          <w:rFonts w:ascii="Arial" w:hAnsi="Arial" w:cs="Arial"/>
          <w:color w:val="000000"/>
        </w:rPr>
        <w:t>fairness</w:t>
      </w:r>
    </w:p>
    <w:p w14:paraId="01CE3D31" w14:textId="45182566" w:rsidR="008179F4" w:rsidRPr="008179F4" w:rsidRDefault="006B7F4D" w:rsidP="008179F4">
      <w:pPr>
        <w:numPr>
          <w:ilvl w:val="0"/>
          <w:numId w:val="15"/>
        </w:numPr>
        <w:autoSpaceDE w:val="0"/>
        <w:autoSpaceDN w:val="0"/>
        <w:adjustRightInd w:val="0"/>
        <w:spacing w:before="120"/>
        <w:jc w:val="both"/>
        <w:rPr>
          <w:rFonts w:ascii="Arial" w:hAnsi="Arial" w:cs="Arial"/>
        </w:rPr>
      </w:pPr>
      <w:r w:rsidRPr="008B74FF">
        <w:rPr>
          <w:rFonts w:ascii="Arial" w:hAnsi="Arial" w:cs="Arial"/>
        </w:rPr>
        <w:t>Evaluate our recruitment processes and procedures to ensure that they remain fair and equitable to all applicants regardless of their specific characteristics.</w:t>
      </w:r>
    </w:p>
    <w:p w14:paraId="73804BD2" w14:textId="12B582DA" w:rsidR="006B7F4D" w:rsidRPr="00FA5A13" w:rsidRDefault="006B7F4D" w:rsidP="006B7F4D">
      <w:pPr>
        <w:autoSpaceDE w:val="0"/>
        <w:autoSpaceDN w:val="0"/>
        <w:adjustRightInd w:val="0"/>
        <w:spacing w:before="120"/>
        <w:jc w:val="both"/>
        <w:rPr>
          <w:rFonts w:ascii="Arial" w:hAnsi="Arial" w:cs="Arial"/>
          <w:color w:val="000000"/>
        </w:rPr>
      </w:pPr>
      <w:r w:rsidRPr="00FA5A13">
        <w:rPr>
          <w:rFonts w:ascii="Arial" w:hAnsi="Arial" w:cs="Arial"/>
          <w:color w:val="000000"/>
        </w:rPr>
        <w:t xml:space="preserve">As an equal </w:t>
      </w:r>
      <w:proofErr w:type="gramStart"/>
      <w:r w:rsidRPr="00FA5A13">
        <w:rPr>
          <w:rFonts w:ascii="Arial" w:hAnsi="Arial" w:cs="Arial"/>
          <w:color w:val="000000"/>
        </w:rPr>
        <w:t>opportunities</w:t>
      </w:r>
      <w:proofErr w:type="gramEnd"/>
      <w:r w:rsidRPr="00FA5A13">
        <w:rPr>
          <w:rFonts w:ascii="Arial" w:hAnsi="Arial" w:cs="Arial"/>
          <w:color w:val="000000"/>
        </w:rPr>
        <w:t xml:space="preserve"> employer, we believe in appointing the best candidate into the role, regardless of their gender or other factors covered by the Equality Act</w:t>
      </w:r>
      <w:r w:rsidR="007746C7">
        <w:rPr>
          <w:rFonts w:ascii="Arial" w:hAnsi="Arial" w:cs="Arial"/>
          <w:color w:val="000000"/>
        </w:rPr>
        <w:t>, 2010</w:t>
      </w:r>
      <w:r w:rsidRPr="00FA5A13">
        <w:rPr>
          <w:rFonts w:ascii="Arial" w:hAnsi="Arial" w:cs="Arial"/>
          <w:color w:val="000000"/>
        </w:rPr>
        <w:t>.</w:t>
      </w:r>
    </w:p>
    <w:p w14:paraId="1BE99B3F" w14:textId="77777777" w:rsidR="006B7F4D" w:rsidRPr="00BE27E4" w:rsidRDefault="006B7F4D" w:rsidP="006B7F4D">
      <w:pPr>
        <w:autoSpaceDE w:val="0"/>
        <w:autoSpaceDN w:val="0"/>
        <w:adjustRightInd w:val="0"/>
        <w:spacing w:before="120"/>
        <w:jc w:val="both"/>
        <w:rPr>
          <w:rFonts w:ascii="Arial" w:hAnsi="Arial" w:cs="Arial"/>
          <w:b/>
          <w:bCs/>
          <w:sz w:val="12"/>
          <w:szCs w:val="12"/>
        </w:rPr>
      </w:pPr>
    </w:p>
    <w:p w14:paraId="6BF57F59" w14:textId="77777777" w:rsidR="006B7F4D" w:rsidRPr="00FA5A13" w:rsidRDefault="006B7F4D" w:rsidP="006B7F4D">
      <w:pPr>
        <w:autoSpaceDE w:val="0"/>
        <w:autoSpaceDN w:val="0"/>
        <w:adjustRightInd w:val="0"/>
        <w:spacing w:before="120"/>
        <w:jc w:val="both"/>
        <w:rPr>
          <w:rFonts w:ascii="Arial" w:hAnsi="Arial" w:cs="Arial"/>
          <w:b/>
          <w:bCs/>
        </w:rPr>
      </w:pPr>
      <w:r w:rsidRPr="00FA5A13">
        <w:rPr>
          <w:rFonts w:ascii="Arial" w:hAnsi="Arial" w:cs="Arial"/>
          <w:b/>
          <w:bCs/>
        </w:rPr>
        <w:t xml:space="preserve">Mandatory Statement </w:t>
      </w:r>
    </w:p>
    <w:p w14:paraId="442373C4" w14:textId="77777777" w:rsidR="006B7F4D" w:rsidRPr="00FA5A13" w:rsidRDefault="006B7F4D" w:rsidP="006B7F4D">
      <w:pPr>
        <w:autoSpaceDE w:val="0"/>
        <w:autoSpaceDN w:val="0"/>
        <w:adjustRightInd w:val="0"/>
        <w:spacing w:before="120"/>
        <w:jc w:val="both"/>
        <w:rPr>
          <w:rFonts w:ascii="Arial" w:hAnsi="Arial" w:cs="Arial"/>
        </w:rPr>
      </w:pPr>
      <w:r w:rsidRPr="00FA5A13">
        <w:rPr>
          <w:rFonts w:ascii="Arial" w:hAnsi="Arial" w:cs="Arial"/>
          <w:color w:val="000000"/>
        </w:rPr>
        <w:t xml:space="preserve">I declare that we have used all reasonable endeavours to ensure that the data contained in this report is accurate. </w:t>
      </w:r>
    </w:p>
    <w:p w14:paraId="1F1CF88D" w14:textId="77777777" w:rsidR="006B7F4D" w:rsidRPr="00FA5A13" w:rsidRDefault="006B7F4D" w:rsidP="006B7F4D">
      <w:pPr>
        <w:autoSpaceDE w:val="0"/>
        <w:autoSpaceDN w:val="0"/>
        <w:adjustRightInd w:val="0"/>
        <w:spacing w:before="120"/>
        <w:jc w:val="both"/>
        <w:rPr>
          <w:rFonts w:ascii="Arial" w:hAnsi="Arial" w:cs="Arial"/>
        </w:rPr>
      </w:pPr>
    </w:p>
    <w:p w14:paraId="3578049A" w14:textId="77777777" w:rsidR="006B7F4D" w:rsidRPr="00FA5A13" w:rsidRDefault="00F575B9" w:rsidP="006B7F4D">
      <w:pPr>
        <w:spacing w:before="120"/>
        <w:jc w:val="both"/>
        <w:rPr>
          <w:rFonts w:ascii="Arial" w:hAnsi="Arial" w:cs="Arial"/>
        </w:rPr>
      </w:pPr>
      <w:r>
        <w:rPr>
          <w:rFonts w:ascii="Arial" w:hAnsi="Arial" w:cs="Arial"/>
          <w:b/>
          <w:bCs/>
        </w:rPr>
        <w:t>Mark Hanna</w:t>
      </w:r>
    </w:p>
    <w:p w14:paraId="58555771" w14:textId="77777777" w:rsidR="006B7F4D" w:rsidRPr="00FA5A13" w:rsidRDefault="006B7F4D" w:rsidP="006B7F4D">
      <w:pPr>
        <w:autoSpaceDE w:val="0"/>
        <w:autoSpaceDN w:val="0"/>
        <w:adjustRightInd w:val="0"/>
        <w:spacing w:before="120"/>
        <w:jc w:val="both"/>
        <w:rPr>
          <w:rFonts w:ascii="Arial" w:hAnsi="Arial" w:cs="Arial"/>
          <w:color w:val="000000"/>
        </w:rPr>
      </w:pPr>
      <w:r w:rsidRPr="00FA5A13">
        <w:rPr>
          <w:rFonts w:ascii="Arial" w:hAnsi="Arial" w:cs="Arial"/>
          <w:color w:val="000000"/>
        </w:rPr>
        <w:t>Chief Executive Officer</w:t>
      </w:r>
    </w:p>
    <w:p w14:paraId="5D087F89" w14:textId="77777777" w:rsidR="00B34CF6" w:rsidRPr="006B7F4D" w:rsidRDefault="00B34CF6" w:rsidP="006B7F4D"/>
    <w:sectPr w:rsidR="00B34CF6" w:rsidRPr="006B7F4D" w:rsidSect="00A37CBB">
      <w:headerReference w:type="default" r:id="rId11"/>
      <w:footerReference w:type="default" r:id="rId12"/>
      <w:pgSz w:w="11906" w:h="16838"/>
      <w:pgMar w:top="1440" w:right="99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C2DDA" w14:textId="77777777" w:rsidR="00165547" w:rsidRDefault="00165547">
      <w:r>
        <w:separator/>
      </w:r>
    </w:p>
  </w:endnote>
  <w:endnote w:type="continuationSeparator" w:id="0">
    <w:p w14:paraId="5942CDD6" w14:textId="77777777" w:rsidR="00165547" w:rsidRDefault="0016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9389C" w14:textId="77777777" w:rsidR="00FA2AD2" w:rsidRPr="008D0E1C" w:rsidRDefault="008D0E1C" w:rsidP="008D0E1C">
    <w:pPr>
      <w:pStyle w:val="Footer"/>
      <w:jc w:val="right"/>
      <w:rPr>
        <w:rFonts w:ascii="Arial" w:hAnsi="Arial" w:cs="Arial"/>
      </w:rPr>
    </w:pPr>
    <w:r w:rsidRPr="008D0E1C">
      <w:rPr>
        <w:rFonts w:ascii="Arial" w:hAnsi="Arial" w:cs="Arial"/>
      </w:rPr>
      <w:t xml:space="preserve">Page </w:t>
    </w:r>
    <w:r w:rsidRPr="008D0E1C">
      <w:rPr>
        <w:rFonts w:ascii="Arial" w:hAnsi="Arial" w:cs="Arial"/>
        <w:b/>
        <w:bCs/>
      </w:rPr>
      <w:fldChar w:fldCharType="begin"/>
    </w:r>
    <w:r w:rsidRPr="008D0E1C">
      <w:rPr>
        <w:rFonts w:ascii="Arial" w:hAnsi="Arial" w:cs="Arial"/>
        <w:b/>
        <w:bCs/>
      </w:rPr>
      <w:instrText xml:space="preserve"> PAGE  \* Arabic  \* MERGEFORMAT </w:instrText>
    </w:r>
    <w:r w:rsidRPr="008D0E1C">
      <w:rPr>
        <w:rFonts w:ascii="Arial" w:hAnsi="Arial" w:cs="Arial"/>
        <w:b/>
        <w:bCs/>
      </w:rPr>
      <w:fldChar w:fldCharType="separate"/>
    </w:r>
    <w:r w:rsidR="004511F0">
      <w:rPr>
        <w:rFonts w:ascii="Arial" w:hAnsi="Arial" w:cs="Arial"/>
        <w:b/>
        <w:bCs/>
        <w:noProof/>
      </w:rPr>
      <w:t>3</w:t>
    </w:r>
    <w:r w:rsidRPr="008D0E1C">
      <w:rPr>
        <w:rFonts w:ascii="Arial" w:hAnsi="Arial" w:cs="Arial"/>
        <w:b/>
        <w:bCs/>
      </w:rPr>
      <w:fldChar w:fldCharType="end"/>
    </w:r>
    <w:r w:rsidRPr="008D0E1C">
      <w:rPr>
        <w:rFonts w:ascii="Arial" w:hAnsi="Arial" w:cs="Arial"/>
      </w:rPr>
      <w:t xml:space="preserve"> of </w:t>
    </w:r>
    <w:r w:rsidRPr="008D0E1C">
      <w:rPr>
        <w:rFonts w:ascii="Arial" w:hAnsi="Arial" w:cs="Arial"/>
        <w:b/>
        <w:bCs/>
      </w:rPr>
      <w:fldChar w:fldCharType="begin"/>
    </w:r>
    <w:r w:rsidRPr="008D0E1C">
      <w:rPr>
        <w:rFonts w:ascii="Arial" w:hAnsi="Arial" w:cs="Arial"/>
        <w:b/>
        <w:bCs/>
      </w:rPr>
      <w:instrText xml:space="preserve"> NUMPAGES  \* Arabic  \* MERGEFORMAT </w:instrText>
    </w:r>
    <w:r w:rsidRPr="008D0E1C">
      <w:rPr>
        <w:rFonts w:ascii="Arial" w:hAnsi="Arial" w:cs="Arial"/>
        <w:b/>
        <w:bCs/>
      </w:rPr>
      <w:fldChar w:fldCharType="separate"/>
    </w:r>
    <w:r w:rsidR="004511F0">
      <w:rPr>
        <w:rFonts w:ascii="Arial" w:hAnsi="Arial" w:cs="Arial"/>
        <w:b/>
        <w:bCs/>
        <w:noProof/>
      </w:rPr>
      <w:t>3</w:t>
    </w:r>
    <w:r w:rsidRPr="008D0E1C">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BE81B" w14:textId="77777777" w:rsidR="00165547" w:rsidRDefault="00165547">
      <w:r>
        <w:separator/>
      </w:r>
    </w:p>
  </w:footnote>
  <w:footnote w:type="continuationSeparator" w:id="0">
    <w:p w14:paraId="669177D6" w14:textId="77777777" w:rsidR="00165547" w:rsidRDefault="0016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C896B" w14:textId="77777777" w:rsidR="00D72A65" w:rsidRDefault="00D72A65" w:rsidP="00D72A65">
    <w:pPr>
      <w:ind w:right="-334"/>
      <w:rPr>
        <w:rFonts w:ascii="Arial" w:hAnsi="Arial" w:cs="Arial"/>
        <w:sz w:val="28"/>
        <w:szCs w:val="28"/>
      </w:rPr>
    </w:pPr>
    <w:r>
      <w:rPr>
        <w:rFonts w:ascii="Arial" w:hAnsi="Arial" w:cs="Arial"/>
        <w:sz w:val="28"/>
        <w:szCs w:val="28"/>
      </w:rPr>
      <w:t xml:space="preserve">AGE UK HERTFORDSHIRE </w:t>
    </w:r>
  </w:p>
  <w:p w14:paraId="36709E45" w14:textId="77777777" w:rsidR="00D72A65" w:rsidRPr="00FB686B" w:rsidRDefault="00D72A65" w:rsidP="00D72A65">
    <w:pPr>
      <w:ind w:right="-334"/>
      <w:rPr>
        <w:rFonts w:ascii="Arial" w:hAnsi="Arial" w:cs="Arial"/>
        <w:sz w:val="28"/>
        <w:szCs w:val="28"/>
      </w:rPr>
    </w:pPr>
    <w:r>
      <w:rPr>
        <w:rFonts w:ascii="Arial" w:hAnsi="Arial" w:cs="Arial"/>
        <w:sz w:val="28"/>
        <w:szCs w:val="28"/>
      </w:rPr>
      <w:t>NARRATIVE REPORT FOR GENDER PAY GAP</w:t>
    </w:r>
  </w:p>
  <w:p w14:paraId="19749316" w14:textId="77777777" w:rsidR="008762AF" w:rsidRPr="00FB686B" w:rsidRDefault="008762AF" w:rsidP="00642145">
    <w:pPr>
      <w:ind w:right="-334"/>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882"/>
    <w:multiLevelType w:val="hybridMultilevel"/>
    <w:tmpl w:val="7D6868CE"/>
    <w:lvl w:ilvl="0" w:tplc="D75ECE4A">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94E17E7"/>
    <w:multiLevelType w:val="hybridMultilevel"/>
    <w:tmpl w:val="A5B6B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166B6D"/>
    <w:multiLevelType w:val="hybridMultilevel"/>
    <w:tmpl w:val="3FDC5248"/>
    <w:lvl w:ilvl="0" w:tplc="2E34DC2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7C76"/>
    <w:multiLevelType w:val="hybridMultilevel"/>
    <w:tmpl w:val="E092C5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E772C"/>
    <w:multiLevelType w:val="hybridMultilevel"/>
    <w:tmpl w:val="68CCD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477F01"/>
    <w:multiLevelType w:val="hybridMultilevel"/>
    <w:tmpl w:val="4E629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04712"/>
    <w:multiLevelType w:val="hybridMultilevel"/>
    <w:tmpl w:val="A1F0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8318D"/>
    <w:multiLevelType w:val="hybridMultilevel"/>
    <w:tmpl w:val="BF9AECCC"/>
    <w:lvl w:ilvl="0" w:tplc="05FCD9BC">
      <w:start w:val="1"/>
      <w:numFmt w:val="bullet"/>
      <w:lvlText w:val=""/>
      <w:lvlJc w:val="left"/>
      <w:pPr>
        <w:ind w:left="720" w:hanging="360"/>
      </w:pPr>
      <w:rPr>
        <w:rFonts w:ascii="Symbol" w:hAnsi="Symbol" w:hint="default"/>
      </w:rPr>
    </w:lvl>
    <w:lvl w:ilvl="1" w:tplc="ABA8E9BC">
      <w:start w:val="1"/>
      <w:numFmt w:val="bullet"/>
      <w:lvlText w:val="o"/>
      <w:lvlJc w:val="left"/>
      <w:pPr>
        <w:ind w:left="1440" w:hanging="360"/>
      </w:pPr>
      <w:rPr>
        <w:rFonts w:ascii="Courier New" w:hAnsi="Courier New" w:hint="default"/>
      </w:rPr>
    </w:lvl>
    <w:lvl w:ilvl="2" w:tplc="8AAA0A54">
      <w:start w:val="1"/>
      <w:numFmt w:val="bullet"/>
      <w:lvlText w:val=""/>
      <w:lvlJc w:val="left"/>
      <w:pPr>
        <w:ind w:left="2160" w:hanging="360"/>
      </w:pPr>
      <w:rPr>
        <w:rFonts w:ascii="Wingdings" w:hAnsi="Wingdings" w:hint="default"/>
      </w:rPr>
    </w:lvl>
    <w:lvl w:ilvl="3" w:tplc="853CB3AE">
      <w:start w:val="1"/>
      <w:numFmt w:val="bullet"/>
      <w:lvlText w:val=""/>
      <w:lvlJc w:val="left"/>
      <w:pPr>
        <w:ind w:left="2880" w:hanging="360"/>
      </w:pPr>
      <w:rPr>
        <w:rFonts w:ascii="Symbol" w:hAnsi="Symbol" w:hint="default"/>
      </w:rPr>
    </w:lvl>
    <w:lvl w:ilvl="4" w:tplc="BDEE0724">
      <w:start w:val="1"/>
      <w:numFmt w:val="bullet"/>
      <w:lvlText w:val="o"/>
      <w:lvlJc w:val="left"/>
      <w:pPr>
        <w:ind w:left="3600" w:hanging="360"/>
      </w:pPr>
      <w:rPr>
        <w:rFonts w:ascii="Courier New" w:hAnsi="Courier New" w:hint="default"/>
      </w:rPr>
    </w:lvl>
    <w:lvl w:ilvl="5" w:tplc="5D9CBD24">
      <w:start w:val="1"/>
      <w:numFmt w:val="bullet"/>
      <w:lvlText w:val=""/>
      <w:lvlJc w:val="left"/>
      <w:pPr>
        <w:ind w:left="4320" w:hanging="360"/>
      </w:pPr>
      <w:rPr>
        <w:rFonts w:ascii="Wingdings" w:hAnsi="Wingdings" w:hint="default"/>
      </w:rPr>
    </w:lvl>
    <w:lvl w:ilvl="6" w:tplc="C6A42F34">
      <w:start w:val="1"/>
      <w:numFmt w:val="bullet"/>
      <w:lvlText w:val=""/>
      <w:lvlJc w:val="left"/>
      <w:pPr>
        <w:ind w:left="5040" w:hanging="360"/>
      </w:pPr>
      <w:rPr>
        <w:rFonts w:ascii="Symbol" w:hAnsi="Symbol" w:hint="default"/>
      </w:rPr>
    </w:lvl>
    <w:lvl w:ilvl="7" w:tplc="32EE50B8">
      <w:start w:val="1"/>
      <w:numFmt w:val="bullet"/>
      <w:lvlText w:val="o"/>
      <w:lvlJc w:val="left"/>
      <w:pPr>
        <w:ind w:left="5760" w:hanging="360"/>
      </w:pPr>
      <w:rPr>
        <w:rFonts w:ascii="Courier New" w:hAnsi="Courier New" w:hint="default"/>
      </w:rPr>
    </w:lvl>
    <w:lvl w:ilvl="8" w:tplc="100ABA52">
      <w:start w:val="1"/>
      <w:numFmt w:val="bullet"/>
      <w:lvlText w:val=""/>
      <w:lvlJc w:val="left"/>
      <w:pPr>
        <w:ind w:left="6480" w:hanging="360"/>
      </w:pPr>
      <w:rPr>
        <w:rFonts w:ascii="Wingdings" w:hAnsi="Wingdings" w:hint="default"/>
      </w:rPr>
    </w:lvl>
  </w:abstractNum>
  <w:abstractNum w:abstractNumId="8" w15:restartNumberingAfterBreak="0">
    <w:nsid w:val="2C8B1B1E"/>
    <w:multiLevelType w:val="hybridMultilevel"/>
    <w:tmpl w:val="ED3C9F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76C9B"/>
    <w:multiLevelType w:val="hybridMultilevel"/>
    <w:tmpl w:val="EA8E0A40"/>
    <w:lvl w:ilvl="0" w:tplc="90FC8190">
      <w:start w:val="1"/>
      <w:numFmt w:val="bullet"/>
      <w:pStyle w:val="Bullet"/>
      <w:lvlText w:val=""/>
      <w:lvlJc w:val="left"/>
      <w:pPr>
        <w:ind w:left="360" w:hanging="360"/>
      </w:pPr>
      <w:rPr>
        <w:rFonts w:ascii="Symbol" w:hAnsi="Symbol"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25C3D27"/>
    <w:multiLevelType w:val="hybridMultilevel"/>
    <w:tmpl w:val="9272C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6F7918"/>
    <w:multiLevelType w:val="hybridMultilevel"/>
    <w:tmpl w:val="C48CDE0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CE55A7A"/>
    <w:multiLevelType w:val="hybridMultilevel"/>
    <w:tmpl w:val="65107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615C81"/>
    <w:multiLevelType w:val="hybridMultilevel"/>
    <w:tmpl w:val="27C65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60AE6"/>
    <w:multiLevelType w:val="hybridMultilevel"/>
    <w:tmpl w:val="FBA0E74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E71B6"/>
    <w:multiLevelType w:val="hybridMultilevel"/>
    <w:tmpl w:val="4CEC6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AD424C"/>
    <w:multiLevelType w:val="hybridMultilevel"/>
    <w:tmpl w:val="D1788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A34492"/>
    <w:multiLevelType w:val="hybridMultilevel"/>
    <w:tmpl w:val="A5B6B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3C1D96"/>
    <w:multiLevelType w:val="hybridMultilevel"/>
    <w:tmpl w:val="8F14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B22EC1"/>
    <w:multiLevelType w:val="hybridMultilevel"/>
    <w:tmpl w:val="E2F4654C"/>
    <w:lvl w:ilvl="0" w:tplc="F996826C">
      <w:start w:val="4"/>
      <w:numFmt w:val="bullet"/>
      <w:lvlText w:val="-"/>
      <w:lvlJc w:val="left"/>
      <w:pPr>
        <w:ind w:left="12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0" w15:restartNumberingAfterBreak="0">
    <w:nsid w:val="755F1560"/>
    <w:multiLevelType w:val="hybridMultilevel"/>
    <w:tmpl w:val="0FB05A4E"/>
    <w:lvl w:ilvl="0" w:tplc="F996826C">
      <w:start w:val="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1" w15:restartNumberingAfterBreak="0">
    <w:nsid w:val="78D60241"/>
    <w:multiLevelType w:val="hybridMultilevel"/>
    <w:tmpl w:val="4E2075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ABE0D19"/>
    <w:multiLevelType w:val="hybridMultilevel"/>
    <w:tmpl w:val="9DF422FC"/>
    <w:lvl w:ilvl="0" w:tplc="DEA63D5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470CD1"/>
    <w:multiLevelType w:val="hybridMultilevel"/>
    <w:tmpl w:val="AD2AD34C"/>
    <w:lvl w:ilvl="0" w:tplc="F996826C">
      <w:start w:val="4"/>
      <w:numFmt w:val="bullet"/>
      <w:lvlText w:val="-"/>
      <w:lvlJc w:val="left"/>
      <w:pPr>
        <w:ind w:left="12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16cid:durableId="734013388">
    <w:abstractNumId w:val="7"/>
  </w:num>
  <w:num w:numId="2" w16cid:durableId="1335454500">
    <w:abstractNumId w:val="17"/>
  </w:num>
  <w:num w:numId="3" w16cid:durableId="1572616608">
    <w:abstractNumId w:val="12"/>
  </w:num>
  <w:num w:numId="4" w16cid:durableId="1525358545">
    <w:abstractNumId w:val="16"/>
  </w:num>
  <w:num w:numId="5" w16cid:durableId="1467357981">
    <w:abstractNumId w:val="1"/>
  </w:num>
  <w:num w:numId="6" w16cid:durableId="1583031714">
    <w:abstractNumId w:val="0"/>
  </w:num>
  <w:num w:numId="7" w16cid:durableId="2084596950">
    <w:abstractNumId w:val="22"/>
  </w:num>
  <w:num w:numId="8" w16cid:durableId="1189611036">
    <w:abstractNumId w:val="2"/>
  </w:num>
  <w:num w:numId="9" w16cid:durableId="80226803">
    <w:abstractNumId w:val="9"/>
  </w:num>
  <w:num w:numId="10" w16cid:durableId="996299958">
    <w:abstractNumId w:val="11"/>
  </w:num>
  <w:num w:numId="11" w16cid:durableId="1640067834">
    <w:abstractNumId w:val="8"/>
  </w:num>
  <w:num w:numId="12" w16cid:durableId="906650321">
    <w:abstractNumId w:val="13"/>
  </w:num>
  <w:num w:numId="13" w16cid:durableId="1397897321">
    <w:abstractNumId w:val="15"/>
  </w:num>
  <w:num w:numId="14" w16cid:durableId="1143038994">
    <w:abstractNumId w:val="5"/>
  </w:num>
  <w:num w:numId="15" w16cid:durableId="1407343293">
    <w:abstractNumId w:val="3"/>
  </w:num>
  <w:num w:numId="16" w16cid:durableId="1160384075">
    <w:abstractNumId w:val="20"/>
  </w:num>
  <w:num w:numId="17" w16cid:durableId="1513372918">
    <w:abstractNumId w:val="19"/>
  </w:num>
  <w:num w:numId="18" w16cid:durableId="2044205699">
    <w:abstractNumId w:val="23"/>
  </w:num>
  <w:num w:numId="19" w16cid:durableId="320695384">
    <w:abstractNumId w:val="14"/>
  </w:num>
  <w:num w:numId="20" w16cid:durableId="484516548">
    <w:abstractNumId w:val="21"/>
  </w:num>
  <w:num w:numId="21" w16cid:durableId="520439905">
    <w:abstractNumId w:val="4"/>
  </w:num>
  <w:num w:numId="22" w16cid:durableId="149562694">
    <w:abstractNumId w:val="6"/>
  </w:num>
  <w:num w:numId="23" w16cid:durableId="722565481">
    <w:abstractNumId w:val="18"/>
  </w:num>
  <w:num w:numId="24" w16cid:durableId="656768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3A"/>
    <w:rsid w:val="00000D39"/>
    <w:rsid w:val="0000219B"/>
    <w:rsid w:val="00003058"/>
    <w:rsid w:val="00005058"/>
    <w:rsid w:val="0001012D"/>
    <w:rsid w:val="000114DF"/>
    <w:rsid w:val="000116CA"/>
    <w:rsid w:val="000270B1"/>
    <w:rsid w:val="00027496"/>
    <w:rsid w:val="00043A84"/>
    <w:rsid w:val="000502A7"/>
    <w:rsid w:val="000524E9"/>
    <w:rsid w:val="00053F9D"/>
    <w:rsid w:val="00056027"/>
    <w:rsid w:val="0005730F"/>
    <w:rsid w:val="00060732"/>
    <w:rsid w:val="00066469"/>
    <w:rsid w:val="00073022"/>
    <w:rsid w:val="000771CB"/>
    <w:rsid w:val="000921D4"/>
    <w:rsid w:val="00094FD5"/>
    <w:rsid w:val="0009650F"/>
    <w:rsid w:val="0009657C"/>
    <w:rsid w:val="00097926"/>
    <w:rsid w:val="000A078E"/>
    <w:rsid w:val="000B3830"/>
    <w:rsid w:val="000B559E"/>
    <w:rsid w:val="000C4FF7"/>
    <w:rsid w:val="000E324C"/>
    <w:rsid w:val="000E5108"/>
    <w:rsid w:val="000E7AFD"/>
    <w:rsid w:val="000F0071"/>
    <w:rsid w:val="000F3B10"/>
    <w:rsid w:val="000F57F8"/>
    <w:rsid w:val="001003C9"/>
    <w:rsid w:val="0011144C"/>
    <w:rsid w:val="00111573"/>
    <w:rsid w:val="0011279A"/>
    <w:rsid w:val="001139A4"/>
    <w:rsid w:val="0013371A"/>
    <w:rsid w:val="00135476"/>
    <w:rsid w:val="00145A64"/>
    <w:rsid w:val="0015386F"/>
    <w:rsid w:val="00165547"/>
    <w:rsid w:val="00186A8E"/>
    <w:rsid w:val="00194920"/>
    <w:rsid w:val="00195CC8"/>
    <w:rsid w:val="001A2DB8"/>
    <w:rsid w:val="001B5F4C"/>
    <w:rsid w:val="001C48E2"/>
    <w:rsid w:val="001D0124"/>
    <w:rsid w:val="001D19C9"/>
    <w:rsid w:val="001F0D11"/>
    <w:rsid w:val="002017E4"/>
    <w:rsid w:val="0021032F"/>
    <w:rsid w:val="00214617"/>
    <w:rsid w:val="00232146"/>
    <w:rsid w:val="00240C14"/>
    <w:rsid w:val="00245300"/>
    <w:rsid w:val="0024539C"/>
    <w:rsid w:val="00247EFC"/>
    <w:rsid w:val="00266F56"/>
    <w:rsid w:val="002762FD"/>
    <w:rsid w:val="00282E81"/>
    <w:rsid w:val="00286388"/>
    <w:rsid w:val="002874AE"/>
    <w:rsid w:val="0029172A"/>
    <w:rsid w:val="00295625"/>
    <w:rsid w:val="002A12BF"/>
    <w:rsid w:val="002A540D"/>
    <w:rsid w:val="002B00EE"/>
    <w:rsid w:val="002C089D"/>
    <w:rsid w:val="002C300B"/>
    <w:rsid w:val="002C3EA5"/>
    <w:rsid w:val="002D1C0E"/>
    <w:rsid w:val="002D4E9B"/>
    <w:rsid w:val="002D6536"/>
    <w:rsid w:val="002E3F00"/>
    <w:rsid w:val="002E491F"/>
    <w:rsid w:val="002E5FDF"/>
    <w:rsid w:val="002F4D29"/>
    <w:rsid w:val="003117C5"/>
    <w:rsid w:val="003139E1"/>
    <w:rsid w:val="003143B5"/>
    <w:rsid w:val="00320633"/>
    <w:rsid w:val="003210A9"/>
    <w:rsid w:val="00321FAD"/>
    <w:rsid w:val="00327913"/>
    <w:rsid w:val="003324BB"/>
    <w:rsid w:val="003335FF"/>
    <w:rsid w:val="00333959"/>
    <w:rsid w:val="0034546B"/>
    <w:rsid w:val="00352231"/>
    <w:rsid w:val="0036043F"/>
    <w:rsid w:val="00365725"/>
    <w:rsid w:val="003778FF"/>
    <w:rsid w:val="00377ECF"/>
    <w:rsid w:val="0038134C"/>
    <w:rsid w:val="00384CAB"/>
    <w:rsid w:val="003879D0"/>
    <w:rsid w:val="003A6DEE"/>
    <w:rsid w:val="003E0D1F"/>
    <w:rsid w:val="003F6208"/>
    <w:rsid w:val="00404BFD"/>
    <w:rsid w:val="004050C7"/>
    <w:rsid w:val="00407C3B"/>
    <w:rsid w:val="00427BD7"/>
    <w:rsid w:val="004312D7"/>
    <w:rsid w:val="004367C3"/>
    <w:rsid w:val="00442986"/>
    <w:rsid w:val="00444CEA"/>
    <w:rsid w:val="00444D0A"/>
    <w:rsid w:val="004511F0"/>
    <w:rsid w:val="00451619"/>
    <w:rsid w:val="00455939"/>
    <w:rsid w:val="00463F2F"/>
    <w:rsid w:val="00492CF5"/>
    <w:rsid w:val="00494797"/>
    <w:rsid w:val="00496EDA"/>
    <w:rsid w:val="004A0B08"/>
    <w:rsid w:val="004A1DCC"/>
    <w:rsid w:val="004A464A"/>
    <w:rsid w:val="004A4C8E"/>
    <w:rsid w:val="004A6A85"/>
    <w:rsid w:val="004B3DB7"/>
    <w:rsid w:val="004C2C91"/>
    <w:rsid w:val="004C41AA"/>
    <w:rsid w:val="004E7605"/>
    <w:rsid w:val="0050551B"/>
    <w:rsid w:val="0051423F"/>
    <w:rsid w:val="005258A2"/>
    <w:rsid w:val="005325B3"/>
    <w:rsid w:val="0053443B"/>
    <w:rsid w:val="00535B88"/>
    <w:rsid w:val="005372CD"/>
    <w:rsid w:val="005460E2"/>
    <w:rsid w:val="005527F8"/>
    <w:rsid w:val="00567B01"/>
    <w:rsid w:val="00567EFD"/>
    <w:rsid w:val="0058206E"/>
    <w:rsid w:val="005820B8"/>
    <w:rsid w:val="00590A5A"/>
    <w:rsid w:val="00591830"/>
    <w:rsid w:val="005956E7"/>
    <w:rsid w:val="0059726C"/>
    <w:rsid w:val="005A006D"/>
    <w:rsid w:val="005A1F88"/>
    <w:rsid w:val="005A206B"/>
    <w:rsid w:val="005A53B3"/>
    <w:rsid w:val="005A59BB"/>
    <w:rsid w:val="005A7183"/>
    <w:rsid w:val="005B2BEA"/>
    <w:rsid w:val="005B47E0"/>
    <w:rsid w:val="005B5BF0"/>
    <w:rsid w:val="005C2FBE"/>
    <w:rsid w:val="005C66F8"/>
    <w:rsid w:val="005D57DB"/>
    <w:rsid w:val="005E15ED"/>
    <w:rsid w:val="005E7F49"/>
    <w:rsid w:val="0060343C"/>
    <w:rsid w:val="0060687B"/>
    <w:rsid w:val="00621285"/>
    <w:rsid w:val="00621BAC"/>
    <w:rsid w:val="00625FB0"/>
    <w:rsid w:val="0062655F"/>
    <w:rsid w:val="00642145"/>
    <w:rsid w:val="006525B6"/>
    <w:rsid w:val="006653EC"/>
    <w:rsid w:val="006666F2"/>
    <w:rsid w:val="006676E0"/>
    <w:rsid w:val="00674071"/>
    <w:rsid w:val="00676FBA"/>
    <w:rsid w:val="00683279"/>
    <w:rsid w:val="006931F4"/>
    <w:rsid w:val="0069356A"/>
    <w:rsid w:val="006946B1"/>
    <w:rsid w:val="006A077F"/>
    <w:rsid w:val="006A31CD"/>
    <w:rsid w:val="006A3B99"/>
    <w:rsid w:val="006A66DE"/>
    <w:rsid w:val="006A69AE"/>
    <w:rsid w:val="006A72DD"/>
    <w:rsid w:val="006B0291"/>
    <w:rsid w:val="006B29D9"/>
    <w:rsid w:val="006B3B63"/>
    <w:rsid w:val="006B5F71"/>
    <w:rsid w:val="006B7F4D"/>
    <w:rsid w:val="006C040A"/>
    <w:rsid w:val="006C2F44"/>
    <w:rsid w:val="006C3329"/>
    <w:rsid w:val="006C79D5"/>
    <w:rsid w:val="006D2659"/>
    <w:rsid w:val="006D6934"/>
    <w:rsid w:val="006E33BD"/>
    <w:rsid w:val="007143AB"/>
    <w:rsid w:val="00714B1E"/>
    <w:rsid w:val="00727420"/>
    <w:rsid w:val="007308D3"/>
    <w:rsid w:val="00737187"/>
    <w:rsid w:val="007469C0"/>
    <w:rsid w:val="00761CE1"/>
    <w:rsid w:val="0076289F"/>
    <w:rsid w:val="007746C7"/>
    <w:rsid w:val="00784AEF"/>
    <w:rsid w:val="0079018B"/>
    <w:rsid w:val="0079301E"/>
    <w:rsid w:val="00793EC2"/>
    <w:rsid w:val="00796995"/>
    <w:rsid w:val="007A55A9"/>
    <w:rsid w:val="007B6317"/>
    <w:rsid w:val="007C5760"/>
    <w:rsid w:val="007C724E"/>
    <w:rsid w:val="007D4009"/>
    <w:rsid w:val="007D58A2"/>
    <w:rsid w:val="007E4193"/>
    <w:rsid w:val="007E48A7"/>
    <w:rsid w:val="007E7595"/>
    <w:rsid w:val="007F0762"/>
    <w:rsid w:val="007F15F1"/>
    <w:rsid w:val="007F4ADB"/>
    <w:rsid w:val="007F5BDB"/>
    <w:rsid w:val="007F7B91"/>
    <w:rsid w:val="00807D4E"/>
    <w:rsid w:val="00814B99"/>
    <w:rsid w:val="008179F4"/>
    <w:rsid w:val="00830555"/>
    <w:rsid w:val="008338D5"/>
    <w:rsid w:val="00837F02"/>
    <w:rsid w:val="00872992"/>
    <w:rsid w:val="00874BC5"/>
    <w:rsid w:val="008762AF"/>
    <w:rsid w:val="00881888"/>
    <w:rsid w:val="00882615"/>
    <w:rsid w:val="00884209"/>
    <w:rsid w:val="00893F36"/>
    <w:rsid w:val="00894C56"/>
    <w:rsid w:val="0089680C"/>
    <w:rsid w:val="008979FF"/>
    <w:rsid w:val="008A05EB"/>
    <w:rsid w:val="008B76EE"/>
    <w:rsid w:val="008C5CEE"/>
    <w:rsid w:val="008D0E1C"/>
    <w:rsid w:val="008D3E7B"/>
    <w:rsid w:val="008E3AE2"/>
    <w:rsid w:val="008F3942"/>
    <w:rsid w:val="00903986"/>
    <w:rsid w:val="00914BAF"/>
    <w:rsid w:val="00915054"/>
    <w:rsid w:val="009177F3"/>
    <w:rsid w:val="00931B1C"/>
    <w:rsid w:val="009335AF"/>
    <w:rsid w:val="00935036"/>
    <w:rsid w:val="00937624"/>
    <w:rsid w:val="00954AE5"/>
    <w:rsid w:val="00955AB7"/>
    <w:rsid w:val="00986220"/>
    <w:rsid w:val="00992A06"/>
    <w:rsid w:val="009B00F6"/>
    <w:rsid w:val="009B6D06"/>
    <w:rsid w:val="009C3A34"/>
    <w:rsid w:val="009C5698"/>
    <w:rsid w:val="009D35AC"/>
    <w:rsid w:val="009E264A"/>
    <w:rsid w:val="009E3889"/>
    <w:rsid w:val="009E3FF7"/>
    <w:rsid w:val="009E53C9"/>
    <w:rsid w:val="00A05D1F"/>
    <w:rsid w:val="00A079FB"/>
    <w:rsid w:val="00A1468B"/>
    <w:rsid w:val="00A16208"/>
    <w:rsid w:val="00A168F7"/>
    <w:rsid w:val="00A25E48"/>
    <w:rsid w:val="00A32A4F"/>
    <w:rsid w:val="00A37CBB"/>
    <w:rsid w:val="00A40A0C"/>
    <w:rsid w:val="00A41437"/>
    <w:rsid w:val="00A42BAA"/>
    <w:rsid w:val="00A4464A"/>
    <w:rsid w:val="00A447A0"/>
    <w:rsid w:val="00A6152E"/>
    <w:rsid w:val="00A71A86"/>
    <w:rsid w:val="00A947C3"/>
    <w:rsid w:val="00A965CE"/>
    <w:rsid w:val="00AA067D"/>
    <w:rsid w:val="00AB2115"/>
    <w:rsid w:val="00AB4138"/>
    <w:rsid w:val="00AC736E"/>
    <w:rsid w:val="00AD2597"/>
    <w:rsid w:val="00AE4192"/>
    <w:rsid w:val="00AE42C6"/>
    <w:rsid w:val="00AF03F5"/>
    <w:rsid w:val="00AF0D20"/>
    <w:rsid w:val="00B10133"/>
    <w:rsid w:val="00B133F5"/>
    <w:rsid w:val="00B223FC"/>
    <w:rsid w:val="00B25668"/>
    <w:rsid w:val="00B3463C"/>
    <w:rsid w:val="00B34CF6"/>
    <w:rsid w:val="00B3B3BB"/>
    <w:rsid w:val="00B41B06"/>
    <w:rsid w:val="00B52B88"/>
    <w:rsid w:val="00B53B33"/>
    <w:rsid w:val="00B545DA"/>
    <w:rsid w:val="00B54A98"/>
    <w:rsid w:val="00B550D4"/>
    <w:rsid w:val="00B57D9E"/>
    <w:rsid w:val="00B613D5"/>
    <w:rsid w:val="00B73420"/>
    <w:rsid w:val="00B854D4"/>
    <w:rsid w:val="00B97C30"/>
    <w:rsid w:val="00BA2B04"/>
    <w:rsid w:val="00BB6E72"/>
    <w:rsid w:val="00BC28B3"/>
    <w:rsid w:val="00BD1874"/>
    <w:rsid w:val="00BE0F10"/>
    <w:rsid w:val="00BE27E4"/>
    <w:rsid w:val="00BF5FD4"/>
    <w:rsid w:val="00C0075B"/>
    <w:rsid w:val="00C11A6E"/>
    <w:rsid w:val="00C160AD"/>
    <w:rsid w:val="00C16A72"/>
    <w:rsid w:val="00C20E59"/>
    <w:rsid w:val="00C26FBA"/>
    <w:rsid w:val="00C274ED"/>
    <w:rsid w:val="00C3124C"/>
    <w:rsid w:val="00C475E4"/>
    <w:rsid w:val="00C50191"/>
    <w:rsid w:val="00C50E4F"/>
    <w:rsid w:val="00C531F5"/>
    <w:rsid w:val="00C54E23"/>
    <w:rsid w:val="00C55F0E"/>
    <w:rsid w:val="00C612C8"/>
    <w:rsid w:val="00C6393B"/>
    <w:rsid w:val="00C64C71"/>
    <w:rsid w:val="00C66913"/>
    <w:rsid w:val="00C80A0D"/>
    <w:rsid w:val="00C80BB2"/>
    <w:rsid w:val="00C85C3F"/>
    <w:rsid w:val="00C93797"/>
    <w:rsid w:val="00CA2F0D"/>
    <w:rsid w:val="00CA4288"/>
    <w:rsid w:val="00CA547E"/>
    <w:rsid w:val="00CB243A"/>
    <w:rsid w:val="00CB71EB"/>
    <w:rsid w:val="00CC4AA2"/>
    <w:rsid w:val="00CC6768"/>
    <w:rsid w:val="00CD5C68"/>
    <w:rsid w:val="00CE589D"/>
    <w:rsid w:val="00CE5C68"/>
    <w:rsid w:val="00CF7736"/>
    <w:rsid w:val="00CF7CB3"/>
    <w:rsid w:val="00D10E98"/>
    <w:rsid w:val="00D16784"/>
    <w:rsid w:val="00D206A2"/>
    <w:rsid w:val="00D226FF"/>
    <w:rsid w:val="00D22D40"/>
    <w:rsid w:val="00D2357A"/>
    <w:rsid w:val="00D31DD5"/>
    <w:rsid w:val="00D339F5"/>
    <w:rsid w:val="00D33AAF"/>
    <w:rsid w:val="00D35F8F"/>
    <w:rsid w:val="00D43AF5"/>
    <w:rsid w:val="00D46450"/>
    <w:rsid w:val="00D52912"/>
    <w:rsid w:val="00D52F69"/>
    <w:rsid w:val="00D63E10"/>
    <w:rsid w:val="00D70670"/>
    <w:rsid w:val="00D72A65"/>
    <w:rsid w:val="00D73912"/>
    <w:rsid w:val="00D7473A"/>
    <w:rsid w:val="00D806C3"/>
    <w:rsid w:val="00D931C6"/>
    <w:rsid w:val="00D97775"/>
    <w:rsid w:val="00DA5885"/>
    <w:rsid w:val="00DB5814"/>
    <w:rsid w:val="00DB7ACE"/>
    <w:rsid w:val="00DC5D18"/>
    <w:rsid w:val="00DD3687"/>
    <w:rsid w:val="00DD6B21"/>
    <w:rsid w:val="00DE348C"/>
    <w:rsid w:val="00DE41A0"/>
    <w:rsid w:val="00DE53F8"/>
    <w:rsid w:val="00DE7E26"/>
    <w:rsid w:val="00DF0DC0"/>
    <w:rsid w:val="00DF1E58"/>
    <w:rsid w:val="00DF22E2"/>
    <w:rsid w:val="00E006A6"/>
    <w:rsid w:val="00E03201"/>
    <w:rsid w:val="00E13075"/>
    <w:rsid w:val="00E17749"/>
    <w:rsid w:val="00E2021F"/>
    <w:rsid w:val="00E21198"/>
    <w:rsid w:val="00E2422A"/>
    <w:rsid w:val="00E24406"/>
    <w:rsid w:val="00E24589"/>
    <w:rsid w:val="00E27E63"/>
    <w:rsid w:val="00E369A5"/>
    <w:rsid w:val="00E36CCF"/>
    <w:rsid w:val="00E40914"/>
    <w:rsid w:val="00E53E20"/>
    <w:rsid w:val="00E54F76"/>
    <w:rsid w:val="00E6085C"/>
    <w:rsid w:val="00E60938"/>
    <w:rsid w:val="00E73125"/>
    <w:rsid w:val="00E77011"/>
    <w:rsid w:val="00E87829"/>
    <w:rsid w:val="00E9325A"/>
    <w:rsid w:val="00E957B4"/>
    <w:rsid w:val="00EA1D3D"/>
    <w:rsid w:val="00EA2F7C"/>
    <w:rsid w:val="00EA480B"/>
    <w:rsid w:val="00EC3D57"/>
    <w:rsid w:val="00ED716E"/>
    <w:rsid w:val="00EE40F9"/>
    <w:rsid w:val="00EE70B5"/>
    <w:rsid w:val="00EF6D42"/>
    <w:rsid w:val="00F132C3"/>
    <w:rsid w:val="00F203D7"/>
    <w:rsid w:val="00F22FE6"/>
    <w:rsid w:val="00F34EB1"/>
    <w:rsid w:val="00F456AF"/>
    <w:rsid w:val="00F53D60"/>
    <w:rsid w:val="00F575B9"/>
    <w:rsid w:val="00F7539E"/>
    <w:rsid w:val="00F75FD3"/>
    <w:rsid w:val="00F90EF4"/>
    <w:rsid w:val="00FA2AD2"/>
    <w:rsid w:val="00FA55F5"/>
    <w:rsid w:val="00FA5A13"/>
    <w:rsid w:val="00FB5E7C"/>
    <w:rsid w:val="00FB686B"/>
    <w:rsid w:val="00FD596F"/>
    <w:rsid w:val="00FD5DC7"/>
    <w:rsid w:val="00FD6A45"/>
    <w:rsid w:val="00FE1668"/>
    <w:rsid w:val="00FE2D53"/>
    <w:rsid w:val="00FE5167"/>
    <w:rsid w:val="00FE5A77"/>
    <w:rsid w:val="00FF44FF"/>
    <w:rsid w:val="00FF7409"/>
    <w:rsid w:val="029B07BD"/>
    <w:rsid w:val="034C69EA"/>
    <w:rsid w:val="03519B78"/>
    <w:rsid w:val="03E0C5AD"/>
    <w:rsid w:val="041A9EBE"/>
    <w:rsid w:val="041C5242"/>
    <w:rsid w:val="048B433B"/>
    <w:rsid w:val="04AE6A73"/>
    <w:rsid w:val="04D9FA1C"/>
    <w:rsid w:val="04E140B9"/>
    <w:rsid w:val="062EC8B9"/>
    <w:rsid w:val="068A6630"/>
    <w:rsid w:val="06CD46BB"/>
    <w:rsid w:val="0742680A"/>
    <w:rsid w:val="07827D07"/>
    <w:rsid w:val="091FBB09"/>
    <w:rsid w:val="0951576B"/>
    <w:rsid w:val="09ADFD03"/>
    <w:rsid w:val="0A1A140E"/>
    <w:rsid w:val="0AE04B12"/>
    <w:rsid w:val="0BC19CF4"/>
    <w:rsid w:val="0C7BBB6E"/>
    <w:rsid w:val="0D127E52"/>
    <w:rsid w:val="0D68F15B"/>
    <w:rsid w:val="0E269C55"/>
    <w:rsid w:val="0F561635"/>
    <w:rsid w:val="11384276"/>
    <w:rsid w:val="117B96DD"/>
    <w:rsid w:val="11950CD3"/>
    <w:rsid w:val="11967942"/>
    <w:rsid w:val="12EAC4DD"/>
    <w:rsid w:val="145AFDDC"/>
    <w:rsid w:val="146BE3BD"/>
    <w:rsid w:val="150A6519"/>
    <w:rsid w:val="150FD9DD"/>
    <w:rsid w:val="15D3B123"/>
    <w:rsid w:val="15D3C071"/>
    <w:rsid w:val="16B3DF32"/>
    <w:rsid w:val="17726407"/>
    <w:rsid w:val="179360C4"/>
    <w:rsid w:val="180E1C8D"/>
    <w:rsid w:val="186AA200"/>
    <w:rsid w:val="192CA144"/>
    <w:rsid w:val="1944A72B"/>
    <w:rsid w:val="19506E83"/>
    <w:rsid w:val="1A5B2BA9"/>
    <w:rsid w:val="1A6B4D70"/>
    <w:rsid w:val="1BA73E8B"/>
    <w:rsid w:val="1C86D859"/>
    <w:rsid w:val="1CC2FA63"/>
    <w:rsid w:val="1D7B96C9"/>
    <w:rsid w:val="1E683360"/>
    <w:rsid w:val="1EE7E761"/>
    <w:rsid w:val="1F918F02"/>
    <w:rsid w:val="2012ED0C"/>
    <w:rsid w:val="2048610B"/>
    <w:rsid w:val="20D7FBB5"/>
    <w:rsid w:val="20E1BA8C"/>
    <w:rsid w:val="21330335"/>
    <w:rsid w:val="22182F5C"/>
    <w:rsid w:val="229BF0C6"/>
    <w:rsid w:val="2383AE8C"/>
    <w:rsid w:val="2386DDF2"/>
    <w:rsid w:val="23F280AF"/>
    <w:rsid w:val="2413AA2A"/>
    <w:rsid w:val="2437D3B7"/>
    <w:rsid w:val="24963A79"/>
    <w:rsid w:val="24C3008F"/>
    <w:rsid w:val="24EAC2CF"/>
    <w:rsid w:val="25239732"/>
    <w:rsid w:val="25482981"/>
    <w:rsid w:val="2560C0C7"/>
    <w:rsid w:val="256BF804"/>
    <w:rsid w:val="25AD5C37"/>
    <w:rsid w:val="2604E8A6"/>
    <w:rsid w:val="2879852F"/>
    <w:rsid w:val="2899969A"/>
    <w:rsid w:val="2942A120"/>
    <w:rsid w:val="295AF01F"/>
    <w:rsid w:val="2A0E8F2B"/>
    <w:rsid w:val="2A1439D5"/>
    <w:rsid w:val="2A55D07A"/>
    <w:rsid w:val="2B3EBF7A"/>
    <w:rsid w:val="2BE8DB27"/>
    <w:rsid w:val="2C32B6BC"/>
    <w:rsid w:val="2CB9CB23"/>
    <w:rsid w:val="2CEB959A"/>
    <w:rsid w:val="2DD880E9"/>
    <w:rsid w:val="2E493D5C"/>
    <w:rsid w:val="2ECCC8BC"/>
    <w:rsid w:val="2F4C70CE"/>
    <w:rsid w:val="30137F09"/>
    <w:rsid w:val="30A91F33"/>
    <w:rsid w:val="311A6187"/>
    <w:rsid w:val="311E8CD6"/>
    <w:rsid w:val="32595BEF"/>
    <w:rsid w:val="32B295EB"/>
    <w:rsid w:val="3303B09C"/>
    <w:rsid w:val="33E7A432"/>
    <w:rsid w:val="33EC268F"/>
    <w:rsid w:val="3457A2B3"/>
    <w:rsid w:val="348C5BF7"/>
    <w:rsid w:val="34B3EC0E"/>
    <w:rsid w:val="34C3C13E"/>
    <w:rsid w:val="34EB5FE5"/>
    <w:rsid w:val="35D5EAB4"/>
    <w:rsid w:val="35F27EBA"/>
    <w:rsid w:val="364D6779"/>
    <w:rsid w:val="36E3CA0E"/>
    <w:rsid w:val="371A2B52"/>
    <w:rsid w:val="38B651EF"/>
    <w:rsid w:val="398DA4DD"/>
    <w:rsid w:val="39E0E97C"/>
    <w:rsid w:val="3A48B679"/>
    <w:rsid w:val="3A612615"/>
    <w:rsid w:val="3B275759"/>
    <w:rsid w:val="3CB232B6"/>
    <w:rsid w:val="3DF51EB5"/>
    <w:rsid w:val="3DFE9E66"/>
    <w:rsid w:val="3EB899C7"/>
    <w:rsid w:val="3F0DA166"/>
    <w:rsid w:val="3F88BF39"/>
    <w:rsid w:val="3F9A3750"/>
    <w:rsid w:val="3FDA13DC"/>
    <w:rsid w:val="41272FFE"/>
    <w:rsid w:val="41EB73B1"/>
    <w:rsid w:val="42F613E8"/>
    <w:rsid w:val="42FA62A1"/>
    <w:rsid w:val="4387F698"/>
    <w:rsid w:val="43882734"/>
    <w:rsid w:val="439112D1"/>
    <w:rsid w:val="4437FE22"/>
    <w:rsid w:val="44570C94"/>
    <w:rsid w:val="44C99C54"/>
    <w:rsid w:val="44EAEC2C"/>
    <w:rsid w:val="45B59357"/>
    <w:rsid w:val="461B490E"/>
    <w:rsid w:val="4648A0B5"/>
    <w:rsid w:val="46AF00D1"/>
    <w:rsid w:val="472A9873"/>
    <w:rsid w:val="4789D3C8"/>
    <w:rsid w:val="48083F8C"/>
    <w:rsid w:val="48447AAA"/>
    <w:rsid w:val="4874F2FC"/>
    <w:rsid w:val="48FB1341"/>
    <w:rsid w:val="4AA0B52B"/>
    <w:rsid w:val="4B617D06"/>
    <w:rsid w:val="4B79C893"/>
    <w:rsid w:val="4BB4D578"/>
    <w:rsid w:val="4BDC422A"/>
    <w:rsid w:val="4CD48192"/>
    <w:rsid w:val="4DA256AC"/>
    <w:rsid w:val="4DA61202"/>
    <w:rsid w:val="4F6823F1"/>
    <w:rsid w:val="4F99162A"/>
    <w:rsid w:val="4FAFD3F9"/>
    <w:rsid w:val="505AE08B"/>
    <w:rsid w:val="50712F02"/>
    <w:rsid w:val="50719FFF"/>
    <w:rsid w:val="50AEC05C"/>
    <w:rsid w:val="51BAA672"/>
    <w:rsid w:val="521639EA"/>
    <w:rsid w:val="52FBC388"/>
    <w:rsid w:val="534F4DF1"/>
    <w:rsid w:val="53FA8106"/>
    <w:rsid w:val="548255F4"/>
    <w:rsid w:val="55406E7A"/>
    <w:rsid w:val="56150201"/>
    <w:rsid w:val="563071B4"/>
    <w:rsid w:val="5690A744"/>
    <w:rsid w:val="57109B6E"/>
    <w:rsid w:val="573EA84D"/>
    <w:rsid w:val="5758DA6A"/>
    <w:rsid w:val="57A779F6"/>
    <w:rsid w:val="57ECEE09"/>
    <w:rsid w:val="57F43CA5"/>
    <w:rsid w:val="5899E0CD"/>
    <w:rsid w:val="58C6535D"/>
    <w:rsid w:val="58C78988"/>
    <w:rsid w:val="5AECAD19"/>
    <w:rsid w:val="5C44F1EF"/>
    <w:rsid w:val="5D1CA744"/>
    <w:rsid w:val="5DEEA27D"/>
    <w:rsid w:val="5E2F5008"/>
    <w:rsid w:val="5E996824"/>
    <w:rsid w:val="5EE85252"/>
    <w:rsid w:val="5FF106A4"/>
    <w:rsid w:val="60074351"/>
    <w:rsid w:val="60654A38"/>
    <w:rsid w:val="607397B6"/>
    <w:rsid w:val="60D7CA22"/>
    <w:rsid w:val="63676FD2"/>
    <w:rsid w:val="63CE6A71"/>
    <w:rsid w:val="63CE7AE0"/>
    <w:rsid w:val="6411FFC4"/>
    <w:rsid w:val="648AB714"/>
    <w:rsid w:val="66856626"/>
    <w:rsid w:val="669E0FFF"/>
    <w:rsid w:val="66CF6977"/>
    <w:rsid w:val="672CF8EB"/>
    <w:rsid w:val="6800022D"/>
    <w:rsid w:val="6805BA69"/>
    <w:rsid w:val="682B9776"/>
    <w:rsid w:val="691FBD19"/>
    <w:rsid w:val="6931E801"/>
    <w:rsid w:val="69660779"/>
    <w:rsid w:val="698C7243"/>
    <w:rsid w:val="69C6A7AB"/>
    <w:rsid w:val="69DC8A68"/>
    <w:rsid w:val="6AB628C6"/>
    <w:rsid w:val="6ABC3B75"/>
    <w:rsid w:val="6AD0644D"/>
    <w:rsid w:val="6C2A39CB"/>
    <w:rsid w:val="6C41D9CE"/>
    <w:rsid w:val="6C4EE3AD"/>
    <w:rsid w:val="6CA316CC"/>
    <w:rsid w:val="6D468A06"/>
    <w:rsid w:val="6E003CAF"/>
    <w:rsid w:val="6E31C411"/>
    <w:rsid w:val="6EC2FD42"/>
    <w:rsid w:val="6EE46FB0"/>
    <w:rsid w:val="6F82D238"/>
    <w:rsid w:val="6F834A00"/>
    <w:rsid w:val="6F8677D4"/>
    <w:rsid w:val="70DB237E"/>
    <w:rsid w:val="70E015AC"/>
    <w:rsid w:val="7146CEBD"/>
    <w:rsid w:val="71C7F860"/>
    <w:rsid w:val="72331E74"/>
    <w:rsid w:val="72F151BF"/>
    <w:rsid w:val="748EB1AC"/>
    <w:rsid w:val="75F3C0CB"/>
    <w:rsid w:val="76389C55"/>
    <w:rsid w:val="764753B3"/>
    <w:rsid w:val="77B968D7"/>
    <w:rsid w:val="785D7273"/>
    <w:rsid w:val="78A34D17"/>
    <w:rsid w:val="78EC0E3D"/>
    <w:rsid w:val="796B87EC"/>
    <w:rsid w:val="796C47D7"/>
    <w:rsid w:val="797B20DF"/>
    <w:rsid w:val="7A12B544"/>
    <w:rsid w:val="7A29DD20"/>
    <w:rsid w:val="7A47CF4B"/>
    <w:rsid w:val="7A8C96A5"/>
    <w:rsid w:val="7B4055F1"/>
    <w:rsid w:val="7B63DFAE"/>
    <w:rsid w:val="7C12A8FE"/>
    <w:rsid w:val="7CA4D215"/>
    <w:rsid w:val="7CBA68E3"/>
    <w:rsid w:val="7DB851E4"/>
    <w:rsid w:val="7E45BD52"/>
    <w:rsid w:val="7EB09F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7D080"/>
  <w15:chartTrackingRefBased/>
  <w15:docId w15:val="{18C77003-D1BA-48BE-9316-36678FC2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903986"/>
    <w:pPr>
      <w:spacing w:before="360"/>
      <w:outlineLvl w:val="0"/>
    </w:pPr>
    <w:rPr>
      <w:rFonts w:ascii="Verdana" w:hAnsi="Verdana"/>
      <w:b/>
      <w:bCs/>
      <w:color w:val="00669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3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03986"/>
    <w:rPr>
      <w:rFonts w:ascii="Verdana" w:hAnsi="Verdana"/>
      <w:b/>
      <w:bCs/>
      <w:color w:val="006699"/>
      <w:sz w:val="32"/>
      <w:szCs w:val="32"/>
    </w:rPr>
  </w:style>
  <w:style w:type="character" w:styleId="Hyperlink">
    <w:name w:val="Hyperlink"/>
    <w:uiPriority w:val="99"/>
    <w:unhideWhenUsed/>
    <w:rsid w:val="00903986"/>
    <w:rPr>
      <w:color w:val="0000FF"/>
      <w:u w:val="single"/>
    </w:rPr>
  </w:style>
  <w:style w:type="character" w:customStyle="1" w:styleId="ExampleChar">
    <w:name w:val="Example Char"/>
    <w:link w:val="Example"/>
    <w:locked/>
    <w:rsid w:val="00903986"/>
    <w:rPr>
      <w:rFonts w:ascii="Verdana" w:hAnsi="Verdana" w:cs="Verdana"/>
      <w:sz w:val="24"/>
      <w:szCs w:val="24"/>
    </w:rPr>
  </w:style>
  <w:style w:type="paragraph" w:customStyle="1" w:styleId="Example">
    <w:name w:val="Example"/>
    <w:basedOn w:val="Normal"/>
    <w:link w:val="ExampleChar"/>
    <w:qFormat/>
    <w:rsid w:val="00903986"/>
    <w:pPr>
      <w:pBdr>
        <w:top w:val="single" w:sz="4" w:space="1" w:color="auto"/>
        <w:left w:val="single" w:sz="4" w:space="4" w:color="auto"/>
        <w:bottom w:val="single" w:sz="4" w:space="1" w:color="auto"/>
        <w:right w:val="single" w:sz="4" w:space="4" w:color="auto"/>
      </w:pBdr>
      <w:spacing w:before="120"/>
    </w:pPr>
    <w:rPr>
      <w:rFonts w:ascii="Verdana" w:hAnsi="Verdana" w:cs="Verdana"/>
    </w:rPr>
  </w:style>
  <w:style w:type="character" w:customStyle="1" w:styleId="BulletChar">
    <w:name w:val="Bullet Char"/>
    <w:link w:val="Bullet"/>
    <w:locked/>
    <w:rsid w:val="00903986"/>
    <w:rPr>
      <w:rFonts w:ascii="Verdana" w:hAnsi="Verdana" w:cs="Verdana"/>
      <w:sz w:val="24"/>
      <w:szCs w:val="24"/>
    </w:rPr>
  </w:style>
  <w:style w:type="paragraph" w:customStyle="1" w:styleId="Bullet">
    <w:name w:val="Bullet"/>
    <w:basedOn w:val="Normal"/>
    <w:link w:val="BulletChar"/>
    <w:qFormat/>
    <w:rsid w:val="00903986"/>
    <w:pPr>
      <w:numPr>
        <w:numId w:val="9"/>
      </w:numPr>
      <w:spacing w:before="120"/>
      <w:ind w:left="357" w:hanging="357"/>
      <w:contextualSpacing/>
    </w:pPr>
    <w:rPr>
      <w:rFonts w:ascii="Verdana" w:hAnsi="Verdana" w:cs="Verdana"/>
    </w:rPr>
  </w:style>
  <w:style w:type="character" w:styleId="Strong">
    <w:name w:val="Strong"/>
    <w:uiPriority w:val="22"/>
    <w:qFormat/>
    <w:rsid w:val="00CE589D"/>
    <w:rPr>
      <w:b/>
      <w:bCs/>
    </w:rPr>
  </w:style>
  <w:style w:type="paragraph" w:styleId="FootnoteText">
    <w:name w:val="footnote text"/>
    <w:basedOn w:val="Normal"/>
    <w:semiHidden/>
    <w:rsid w:val="000E5108"/>
    <w:rPr>
      <w:sz w:val="20"/>
      <w:szCs w:val="20"/>
    </w:rPr>
  </w:style>
  <w:style w:type="character" w:styleId="FootnoteReference">
    <w:name w:val="footnote reference"/>
    <w:semiHidden/>
    <w:rsid w:val="000E5108"/>
    <w:rPr>
      <w:vertAlign w:val="superscript"/>
    </w:rPr>
  </w:style>
  <w:style w:type="paragraph" w:styleId="Header">
    <w:name w:val="header"/>
    <w:basedOn w:val="Normal"/>
    <w:rsid w:val="00FB686B"/>
    <w:pPr>
      <w:tabs>
        <w:tab w:val="center" w:pos="4153"/>
        <w:tab w:val="right" w:pos="8306"/>
      </w:tabs>
    </w:pPr>
  </w:style>
  <w:style w:type="paragraph" w:styleId="Footer">
    <w:name w:val="footer"/>
    <w:basedOn w:val="Normal"/>
    <w:rsid w:val="00FB686B"/>
    <w:pPr>
      <w:tabs>
        <w:tab w:val="center" w:pos="4153"/>
        <w:tab w:val="right" w:pos="8306"/>
      </w:tabs>
    </w:pPr>
  </w:style>
  <w:style w:type="paragraph" w:styleId="BalloonText">
    <w:name w:val="Balloon Text"/>
    <w:basedOn w:val="Normal"/>
    <w:semiHidden/>
    <w:rsid w:val="007E7595"/>
    <w:rPr>
      <w:rFonts w:ascii="Tahoma" w:hAnsi="Tahoma" w:cs="Tahoma"/>
      <w:sz w:val="16"/>
      <w:szCs w:val="16"/>
    </w:rPr>
  </w:style>
  <w:style w:type="character" w:styleId="FollowedHyperlink">
    <w:name w:val="FollowedHyperlink"/>
    <w:rsid w:val="00A6152E"/>
    <w:rPr>
      <w:color w:val="954F72"/>
      <w:u w:val="single"/>
    </w:rPr>
  </w:style>
  <w:style w:type="paragraph" w:styleId="ListParagraph">
    <w:name w:val="List Paragraph"/>
    <w:basedOn w:val="Normal"/>
    <w:uiPriority w:val="34"/>
    <w:qFormat/>
    <w:rsid w:val="00092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1730">
      <w:bodyDiv w:val="1"/>
      <w:marLeft w:val="0"/>
      <w:marRight w:val="0"/>
      <w:marTop w:val="0"/>
      <w:marBottom w:val="0"/>
      <w:divBdr>
        <w:top w:val="none" w:sz="0" w:space="0" w:color="auto"/>
        <w:left w:val="none" w:sz="0" w:space="0" w:color="auto"/>
        <w:bottom w:val="none" w:sz="0" w:space="0" w:color="auto"/>
        <w:right w:val="none" w:sz="0" w:space="0" w:color="auto"/>
      </w:divBdr>
    </w:div>
    <w:div w:id="154684397">
      <w:bodyDiv w:val="1"/>
      <w:marLeft w:val="0"/>
      <w:marRight w:val="0"/>
      <w:marTop w:val="0"/>
      <w:marBottom w:val="0"/>
      <w:divBdr>
        <w:top w:val="none" w:sz="0" w:space="0" w:color="auto"/>
        <w:left w:val="none" w:sz="0" w:space="0" w:color="auto"/>
        <w:bottom w:val="none" w:sz="0" w:space="0" w:color="auto"/>
        <w:right w:val="none" w:sz="0" w:space="0" w:color="auto"/>
      </w:divBdr>
    </w:div>
    <w:div w:id="306592342">
      <w:bodyDiv w:val="1"/>
      <w:marLeft w:val="0"/>
      <w:marRight w:val="0"/>
      <w:marTop w:val="0"/>
      <w:marBottom w:val="0"/>
      <w:divBdr>
        <w:top w:val="none" w:sz="0" w:space="0" w:color="auto"/>
        <w:left w:val="none" w:sz="0" w:space="0" w:color="auto"/>
        <w:bottom w:val="none" w:sz="0" w:space="0" w:color="auto"/>
        <w:right w:val="none" w:sz="0" w:space="0" w:color="auto"/>
      </w:divBdr>
    </w:div>
    <w:div w:id="374544096">
      <w:bodyDiv w:val="1"/>
      <w:marLeft w:val="0"/>
      <w:marRight w:val="0"/>
      <w:marTop w:val="0"/>
      <w:marBottom w:val="0"/>
      <w:divBdr>
        <w:top w:val="none" w:sz="0" w:space="0" w:color="auto"/>
        <w:left w:val="none" w:sz="0" w:space="0" w:color="auto"/>
        <w:bottom w:val="none" w:sz="0" w:space="0" w:color="auto"/>
        <w:right w:val="none" w:sz="0" w:space="0" w:color="auto"/>
      </w:divBdr>
    </w:div>
    <w:div w:id="418718435">
      <w:bodyDiv w:val="1"/>
      <w:marLeft w:val="0"/>
      <w:marRight w:val="0"/>
      <w:marTop w:val="0"/>
      <w:marBottom w:val="0"/>
      <w:divBdr>
        <w:top w:val="none" w:sz="0" w:space="0" w:color="auto"/>
        <w:left w:val="none" w:sz="0" w:space="0" w:color="auto"/>
        <w:bottom w:val="none" w:sz="0" w:space="0" w:color="auto"/>
        <w:right w:val="none" w:sz="0" w:space="0" w:color="auto"/>
      </w:divBdr>
    </w:div>
    <w:div w:id="571158180">
      <w:bodyDiv w:val="1"/>
      <w:marLeft w:val="0"/>
      <w:marRight w:val="0"/>
      <w:marTop w:val="0"/>
      <w:marBottom w:val="0"/>
      <w:divBdr>
        <w:top w:val="none" w:sz="0" w:space="0" w:color="auto"/>
        <w:left w:val="none" w:sz="0" w:space="0" w:color="auto"/>
        <w:bottom w:val="none" w:sz="0" w:space="0" w:color="auto"/>
        <w:right w:val="none" w:sz="0" w:space="0" w:color="auto"/>
      </w:divBdr>
    </w:div>
    <w:div w:id="580875261">
      <w:bodyDiv w:val="1"/>
      <w:marLeft w:val="0"/>
      <w:marRight w:val="0"/>
      <w:marTop w:val="0"/>
      <w:marBottom w:val="0"/>
      <w:divBdr>
        <w:top w:val="none" w:sz="0" w:space="0" w:color="auto"/>
        <w:left w:val="none" w:sz="0" w:space="0" w:color="auto"/>
        <w:bottom w:val="none" w:sz="0" w:space="0" w:color="auto"/>
        <w:right w:val="none" w:sz="0" w:space="0" w:color="auto"/>
      </w:divBdr>
    </w:div>
    <w:div w:id="678822164">
      <w:bodyDiv w:val="1"/>
      <w:marLeft w:val="0"/>
      <w:marRight w:val="0"/>
      <w:marTop w:val="0"/>
      <w:marBottom w:val="0"/>
      <w:divBdr>
        <w:top w:val="none" w:sz="0" w:space="0" w:color="auto"/>
        <w:left w:val="none" w:sz="0" w:space="0" w:color="auto"/>
        <w:bottom w:val="none" w:sz="0" w:space="0" w:color="auto"/>
        <w:right w:val="none" w:sz="0" w:space="0" w:color="auto"/>
      </w:divBdr>
    </w:div>
    <w:div w:id="892539692">
      <w:bodyDiv w:val="1"/>
      <w:marLeft w:val="0"/>
      <w:marRight w:val="0"/>
      <w:marTop w:val="0"/>
      <w:marBottom w:val="0"/>
      <w:divBdr>
        <w:top w:val="none" w:sz="0" w:space="0" w:color="auto"/>
        <w:left w:val="none" w:sz="0" w:space="0" w:color="auto"/>
        <w:bottom w:val="none" w:sz="0" w:space="0" w:color="auto"/>
        <w:right w:val="none" w:sz="0" w:space="0" w:color="auto"/>
      </w:divBdr>
    </w:div>
    <w:div w:id="1088037895">
      <w:bodyDiv w:val="1"/>
      <w:marLeft w:val="0"/>
      <w:marRight w:val="0"/>
      <w:marTop w:val="0"/>
      <w:marBottom w:val="0"/>
      <w:divBdr>
        <w:top w:val="none" w:sz="0" w:space="0" w:color="auto"/>
        <w:left w:val="none" w:sz="0" w:space="0" w:color="auto"/>
        <w:bottom w:val="none" w:sz="0" w:space="0" w:color="auto"/>
        <w:right w:val="none" w:sz="0" w:space="0" w:color="auto"/>
      </w:divBdr>
    </w:div>
    <w:div w:id="1117137189">
      <w:bodyDiv w:val="1"/>
      <w:marLeft w:val="0"/>
      <w:marRight w:val="0"/>
      <w:marTop w:val="0"/>
      <w:marBottom w:val="0"/>
      <w:divBdr>
        <w:top w:val="none" w:sz="0" w:space="0" w:color="auto"/>
        <w:left w:val="none" w:sz="0" w:space="0" w:color="auto"/>
        <w:bottom w:val="none" w:sz="0" w:space="0" w:color="auto"/>
        <w:right w:val="none" w:sz="0" w:space="0" w:color="auto"/>
      </w:divBdr>
    </w:div>
    <w:div w:id="1287195388">
      <w:bodyDiv w:val="1"/>
      <w:marLeft w:val="0"/>
      <w:marRight w:val="0"/>
      <w:marTop w:val="0"/>
      <w:marBottom w:val="0"/>
      <w:divBdr>
        <w:top w:val="none" w:sz="0" w:space="0" w:color="auto"/>
        <w:left w:val="none" w:sz="0" w:space="0" w:color="auto"/>
        <w:bottom w:val="none" w:sz="0" w:space="0" w:color="auto"/>
        <w:right w:val="none" w:sz="0" w:space="0" w:color="auto"/>
      </w:divBdr>
    </w:div>
    <w:div w:id="1314290531">
      <w:bodyDiv w:val="1"/>
      <w:marLeft w:val="0"/>
      <w:marRight w:val="0"/>
      <w:marTop w:val="0"/>
      <w:marBottom w:val="0"/>
      <w:divBdr>
        <w:top w:val="none" w:sz="0" w:space="0" w:color="auto"/>
        <w:left w:val="none" w:sz="0" w:space="0" w:color="auto"/>
        <w:bottom w:val="none" w:sz="0" w:space="0" w:color="auto"/>
        <w:right w:val="none" w:sz="0" w:space="0" w:color="auto"/>
      </w:divBdr>
    </w:div>
    <w:div w:id="1428502829">
      <w:bodyDiv w:val="1"/>
      <w:marLeft w:val="0"/>
      <w:marRight w:val="0"/>
      <w:marTop w:val="0"/>
      <w:marBottom w:val="0"/>
      <w:divBdr>
        <w:top w:val="none" w:sz="0" w:space="0" w:color="auto"/>
        <w:left w:val="none" w:sz="0" w:space="0" w:color="auto"/>
        <w:bottom w:val="none" w:sz="0" w:space="0" w:color="auto"/>
        <w:right w:val="none" w:sz="0" w:space="0" w:color="auto"/>
      </w:divBdr>
    </w:div>
    <w:div w:id="1629703603">
      <w:bodyDiv w:val="1"/>
      <w:marLeft w:val="0"/>
      <w:marRight w:val="0"/>
      <w:marTop w:val="0"/>
      <w:marBottom w:val="0"/>
      <w:divBdr>
        <w:top w:val="none" w:sz="0" w:space="0" w:color="auto"/>
        <w:left w:val="none" w:sz="0" w:space="0" w:color="auto"/>
        <w:bottom w:val="none" w:sz="0" w:space="0" w:color="auto"/>
        <w:right w:val="none" w:sz="0" w:space="0" w:color="auto"/>
      </w:divBdr>
    </w:div>
    <w:div w:id="1758092679">
      <w:bodyDiv w:val="1"/>
      <w:marLeft w:val="0"/>
      <w:marRight w:val="0"/>
      <w:marTop w:val="0"/>
      <w:marBottom w:val="0"/>
      <w:divBdr>
        <w:top w:val="none" w:sz="0" w:space="0" w:color="auto"/>
        <w:left w:val="none" w:sz="0" w:space="0" w:color="auto"/>
        <w:bottom w:val="none" w:sz="0" w:space="0" w:color="auto"/>
        <w:right w:val="none" w:sz="0" w:space="0" w:color="auto"/>
      </w:divBdr>
    </w:div>
    <w:div w:id="1895315567">
      <w:bodyDiv w:val="1"/>
      <w:marLeft w:val="0"/>
      <w:marRight w:val="0"/>
      <w:marTop w:val="0"/>
      <w:marBottom w:val="0"/>
      <w:divBdr>
        <w:top w:val="none" w:sz="0" w:space="0" w:color="auto"/>
        <w:left w:val="none" w:sz="0" w:space="0" w:color="auto"/>
        <w:bottom w:val="none" w:sz="0" w:space="0" w:color="auto"/>
        <w:right w:val="none" w:sz="0" w:space="0" w:color="auto"/>
      </w:divBdr>
    </w:div>
    <w:div w:id="20504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4e9c7c-dd43-41cd-b7a9-0c589775a953" xsi:nil="true"/>
    <lcf76f155ced4ddcb4097134ff3c332f xmlns="2d5693bf-37de-4a02-9094-29265b09aa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53DB0D33BB1E4B9176053164CFD6C4" ma:contentTypeVersion="21" ma:contentTypeDescription="Create a new document." ma:contentTypeScope="" ma:versionID="dd6578443c4d9df010ebd839e62b386b">
  <xsd:schema xmlns:xsd="http://www.w3.org/2001/XMLSchema" xmlns:xs="http://www.w3.org/2001/XMLSchema" xmlns:p="http://schemas.microsoft.com/office/2006/metadata/properties" xmlns:ns2="2d5693bf-37de-4a02-9094-29265b09aa8d" xmlns:ns3="db4e9c7c-dd43-41cd-b7a9-0c589775a953" targetNamespace="http://schemas.microsoft.com/office/2006/metadata/properties" ma:root="true" ma:fieldsID="416a54644f83d1a54465ba831b3b22f1" ns2:_="" ns3:_="">
    <xsd:import namespace="2d5693bf-37de-4a02-9094-29265b09aa8d"/>
    <xsd:import namespace="db4e9c7c-dd43-41cd-b7a9-0c589775a9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693bf-37de-4a02-9094-29265b09a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36642f3-77b2-4a11-8f32-88098b443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e9c7c-dd43-41cd-b7a9-0c589775a95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34e8cc5-02a1-47ec-9983-cdb9d32b6835}" ma:internalName="TaxCatchAll" ma:showField="CatchAllData" ma:web="db4e9c7c-dd43-41cd-b7a9-0c589775a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E64C3-4AB1-4B65-A391-F0522AC1B64A}">
  <ds:schemaRefs>
    <ds:schemaRef ds:uri="http://schemas.microsoft.com/sharepoint/v3/contenttype/forms"/>
  </ds:schemaRefs>
</ds:datastoreItem>
</file>

<file path=customXml/itemProps2.xml><?xml version="1.0" encoding="utf-8"?>
<ds:datastoreItem xmlns:ds="http://schemas.openxmlformats.org/officeDocument/2006/customXml" ds:itemID="{DF2B9D05-6C6B-4295-BC8D-AAE893FAD15A}">
  <ds:schemaRefs>
    <ds:schemaRef ds:uri="http://schemas.microsoft.com/office/2006/metadata/properties"/>
    <ds:schemaRef ds:uri="http://schemas.microsoft.com/office/infopath/2007/PartnerControls"/>
    <ds:schemaRef ds:uri="db4e9c7c-dd43-41cd-b7a9-0c589775a953"/>
    <ds:schemaRef ds:uri="2d5693bf-37de-4a02-9094-29265b09aa8d"/>
  </ds:schemaRefs>
</ds:datastoreItem>
</file>

<file path=customXml/itemProps3.xml><?xml version="1.0" encoding="utf-8"?>
<ds:datastoreItem xmlns:ds="http://schemas.openxmlformats.org/officeDocument/2006/customXml" ds:itemID="{4CBC1829-29CA-439A-9DBB-963EE6AEBF83}">
  <ds:schemaRefs>
    <ds:schemaRef ds:uri="http://schemas.openxmlformats.org/officeDocument/2006/bibliography"/>
  </ds:schemaRefs>
</ds:datastoreItem>
</file>

<file path=customXml/itemProps4.xml><?xml version="1.0" encoding="utf-8"?>
<ds:datastoreItem xmlns:ds="http://schemas.openxmlformats.org/officeDocument/2006/customXml" ds:itemID="{7CF0DF24-4013-4DEE-92E6-83FBBC766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693bf-37de-4a02-9094-29265b09aa8d"/>
    <ds:schemaRef ds:uri="db4e9c7c-dd43-41cd-b7a9-0c589775a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4694</Characters>
  <Application>Microsoft Office Word</Application>
  <DocSecurity>0</DocSecurity>
  <Lines>120</Lines>
  <Paragraphs>68</Paragraphs>
  <ScaleCrop>false</ScaleCrop>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Pay Gap 2020 Report.docx</dc:title>
  <dc:subject/>
  <dc:creator>ccornford</dc:creator>
  <cp:keywords/>
  <dc:description/>
  <cp:lastModifiedBy>Alex Pemberton</cp:lastModifiedBy>
  <cp:revision>3</cp:revision>
  <cp:lastPrinted>2019-03-06T14:57:00Z</cp:lastPrinted>
  <dcterms:created xsi:type="dcterms:W3CDTF">2026-03-20T10:39:00Z</dcterms:created>
  <dcterms:modified xsi:type="dcterms:W3CDTF">2026-03-20T10:40:00Z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0x0101004F53DB0D33BB1E4B9176053164CFD6C4</vt:lpwstr>
  </property>
  <property fmtid="{D5CDD505-2E9C-101B-9397-08002B2CF9AE}" pid="3" name="MediaServiceImageTags">
    <vt:lpwstr/>
  </property>
</Properties>
</file>