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6E" w:rsidRPr="001C401F" w:rsidRDefault="001247AE">
      <w:pPr>
        <w:rPr>
          <w:b/>
          <w:color w:val="00AEEF"/>
          <w:sz w:val="36"/>
        </w:rPr>
      </w:pPr>
      <w:r w:rsidRPr="005146E1">
        <w:rPr>
          <w:noProof/>
          <w:lang w:eastAsia="en-GB"/>
        </w:rPr>
        <w:drawing>
          <wp:anchor distT="0" distB="0" distL="114300" distR="114300" simplePos="0" relativeHeight="251658240" behindDoc="1" locked="0" layoutInCell="1" allowOverlap="1" wp14:anchorId="5E57FD11" wp14:editId="70946737">
            <wp:simplePos x="0" y="0"/>
            <wp:positionH relativeFrom="column">
              <wp:posOffset>2966720</wp:posOffset>
            </wp:positionH>
            <wp:positionV relativeFrom="paragraph">
              <wp:posOffset>-805180</wp:posOffset>
            </wp:positionV>
            <wp:extent cx="3686810" cy="1651000"/>
            <wp:effectExtent l="0" t="0" r="0" b="0"/>
            <wp:wrapTight wrapText="bothSides">
              <wp:wrapPolygon edited="0">
                <wp:start x="1004" y="4237"/>
                <wp:lineTo x="893" y="16200"/>
                <wp:lineTo x="2679" y="16698"/>
                <wp:lineTo x="12389" y="16948"/>
                <wp:lineTo x="13728" y="18194"/>
                <wp:lineTo x="14956" y="18194"/>
                <wp:lineTo x="18527" y="16948"/>
                <wp:lineTo x="18750" y="14954"/>
                <wp:lineTo x="17969" y="13708"/>
                <wp:lineTo x="15737" y="12711"/>
                <wp:lineTo x="20982" y="8972"/>
                <wp:lineTo x="21206" y="7228"/>
                <wp:lineTo x="20536" y="6231"/>
                <wp:lineTo x="18304" y="4237"/>
                <wp:lineTo x="1004" y="42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5525"/>
                    <a:stretch/>
                  </pic:blipFill>
                  <pic:spPr bwMode="auto">
                    <a:xfrm>
                      <a:off x="0" y="0"/>
                      <a:ext cx="3686810" cy="165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6E1">
        <w:rPr>
          <w:b/>
          <w:color w:val="00AEEF"/>
          <w:sz w:val="32"/>
        </w:rPr>
        <w:br/>
      </w:r>
      <w:r w:rsidR="00EF2E6E" w:rsidRPr="001C401F">
        <w:rPr>
          <w:b/>
          <w:color w:val="00AEEF"/>
          <w:sz w:val="36"/>
        </w:rPr>
        <w:t xml:space="preserve">Dementia Friendly New Years </w:t>
      </w:r>
    </w:p>
    <w:p w:rsidR="005146E1" w:rsidRDefault="00EF2E6E">
      <w:pPr>
        <w:rPr>
          <w:b/>
          <w:sz w:val="32"/>
        </w:rPr>
      </w:pPr>
      <w:r w:rsidRPr="001C401F">
        <w:rPr>
          <w:b/>
          <w:color w:val="00AEEF"/>
          <w:sz w:val="36"/>
        </w:rPr>
        <w:t>Resolution</w:t>
      </w:r>
      <w:r w:rsidR="001247AE" w:rsidRPr="001C401F">
        <w:rPr>
          <w:b/>
          <w:sz w:val="32"/>
        </w:rPr>
        <w:tab/>
      </w:r>
      <w:r w:rsidR="001247AE">
        <w:rPr>
          <w:b/>
          <w:sz w:val="32"/>
        </w:rPr>
        <w:tab/>
      </w:r>
      <w:r w:rsidR="001247AE">
        <w:rPr>
          <w:b/>
          <w:sz w:val="32"/>
        </w:rPr>
        <w:tab/>
      </w:r>
      <w:r w:rsidR="001247AE">
        <w:rPr>
          <w:b/>
          <w:sz w:val="32"/>
        </w:rPr>
        <w:tab/>
      </w:r>
      <w:r w:rsidR="001247AE">
        <w:rPr>
          <w:b/>
          <w:sz w:val="32"/>
        </w:rPr>
        <w:tab/>
      </w:r>
    </w:p>
    <w:p w:rsidR="00E36700" w:rsidRPr="00EC0D39" w:rsidRDefault="00EF2E6E">
      <w:pPr>
        <w:rPr>
          <w:b/>
          <w:sz w:val="24"/>
          <w:szCs w:val="24"/>
        </w:rPr>
      </w:pPr>
      <w:r>
        <w:rPr>
          <w:sz w:val="24"/>
        </w:rPr>
        <w:t>The start of a new yea</w:t>
      </w:r>
      <w:bookmarkStart w:id="0" w:name="_GoBack"/>
      <w:bookmarkEnd w:id="0"/>
      <w:r>
        <w:rPr>
          <w:sz w:val="24"/>
        </w:rPr>
        <w:t>r is a chance to have a fresh view, clean slate, and opportunity to try new things. Here at Dementia Advice Sheffield, we want to set a new year’s challenge for all</w:t>
      </w:r>
      <w:r>
        <w:rPr>
          <w:sz w:val="24"/>
        </w:rPr>
        <w:br/>
        <w:t xml:space="preserve">our colleagues and individuals currently working with people living with dementia. </w:t>
      </w:r>
    </w:p>
    <w:p w:rsidR="005146E1" w:rsidRPr="004F3A88" w:rsidRDefault="00EF2E6E">
      <w:pPr>
        <w:rPr>
          <w:b/>
          <w:color w:val="00AEEF"/>
          <w:sz w:val="28"/>
          <w:szCs w:val="24"/>
        </w:rPr>
      </w:pPr>
      <w:r>
        <w:rPr>
          <w:b/>
          <w:color w:val="00AEEF"/>
          <w:sz w:val="28"/>
          <w:szCs w:val="24"/>
        </w:rPr>
        <w:t>Language Matters</w:t>
      </w:r>
    </w:p>
    <w:p w:rsidR="00EC0D39" w:rsidRDefault="00EF2E6E">
      <w:pPr>
        <w:rPr>
          <w:sz w:val="24"/>
        </w:rPr>
      </w:pPr>
      <w:r>
        <w:rPr>
          <w:sz w:val="24"/>
        </w:rPr>
        <w:t>People living with dementia undoubtedly face a disproportionate amount of discrimination and stigma in everyday life, be that through access to work, transport, benefits, social opportunities or social care. We are all familia</w:t>
      </w:r>
      <w:r w:rsidR="00FF327C">
        <w:rPr>
          <w:sz w:val="24"/>
        </w:rPr>
        <w:t>r with the ‘big topics’ affecting</w:t>
      </w:r>
      <w:r>
        <w:rPr>
          <w:sz w:val="24"/>
        </w:rPr>
        <w:t xml:space="preserve"> those with dementia, but </w:t>
      </w:r>
      <w:r w:rsidR="00FF327C">
        <w:rPr>
          <w:sz w:val="24"/>
        </w:rPr>
        <w:t>(</w:t>
      </w:r>
      <w:r>
        <w:rPr>
          <w:sz w:val="24"/>
        </w:rPr>
        <w:t>ironically</w:t>
      </w:r>
      <w:r w:rsidR="00FF327C">
        <w:rPr>
          <w:sz w:val="24"/>
        </w:rPr>
        <w:t>) little is</w:t>
      </w:r>
      <w:r>
        <w:rPr>
          <w:sz w:val="24"/>
        </w:rPr>
        <w:t xml:space="preserve"> </w:t>
      </w:r>
      <w:r w:rsidRPr="00EF2E6E">
        <w:rPr>
          <w:i/>
          <w:sz w:val="24"/>
        </w:rPr>
        <w:t>spoken</w:t>
      </w:r>
      <w:r>
        <w:rPr>
          <w:sz w:val="24"/>
        </w:rPr>
        <w:t xml:space="preserve"> about </w:t>
      </w:r>
      <w:r w:rsidR="00FF327C">
        <w:rPr>
          <w:sz w:val="24"/>
        </w:rPr>
        <w:t xml:space="preserve"> regarding </w:t>
      </w:r>
      <w:r>
        <w:rPr>
          <w:sz w:val="24"/>
        </w:rPr>
        <w:t xml:space="preserve">the way our language and choice of words can add to stigma and </w:t>
      </w:r>
      <w:r w:rsidR="00022EB3">
        <w:rPr>
          <w:sz w:val="24"/>
        </w:rPr>
        <w:t xml:space="preserve">negative </w:t>
      </w:r>
      <w:r>
        <w:rPr>
          <w:sz w:val="24"/>
        </w:rPr>
        <w:t xml:space="preserve">stereotyping. </w:t>
      </w:r>
    </w:p>
    <w:p w:rsidR="00022EB3" w:rsidRDefault="00EF2E6E">
      <w:pPr>
        <w:rPr>
          <w:sz w:val="24"/>
        </w:rPr>
      </w:pPr>
      <w:r>
        <w:rPr>
          <w:sz w:val="24"/>
        </w:rPr>
        <w:t xml:space="preserve">As </w:t>
      </w:r>
      <w:r w:rsidR="001409D2">
        <w:rPr>
          <w:sz w:val="24"/>
        </w:rPr>
        <w:t xml:space="preserve">Trish O’Hara (2014) demonstrates in her infographic below, the way people living </w:t>
      </w:r>
      <w:r w:rsidR="00672319">
        <w:rPr>
          <w:sz w:val="24"/>
        </w:rPr>
        <w:t xml:space="preserve">with dementia, </w:t>
      </w:r>
      <w:r w:rsidR="001409D2">
        <w:rPr>
          <w:sz w:val="24"/>
        </w:rPr>
        <w:t xml:space="preserve">their </w:t>
      </w:r>
      <w:r w:rsidR="00022EB3">
        <w:rPr>
          <w:sz w:val="24"/>
        </w:rPr>
        <w:t>feelings</w:t>
      </w:r>
      <w:r w:rsidR="00BB3F68">
        <w:rPr>
          <w:sz w:val="24"/>
        </w:rPr>
        <w:t xml:space="preserve"> </w:t>
      </w:r>
      <w:r w:rsidR="00672319">
        <w:rPr>
          <w:sz w:val="24"/>
        </w:rPr>
        <w:t xml:space="preserve">or their needs </w:t>
      </w:r>
      <w:r w:rsidR="00BB3F68">
        <w:rPr>
          <w:sz w:val="24"/>
        </w:rPr>
        <w:t>are commonly described can</w:t>
      </w:r>
      <w:r w:rsidR="00022EB3">
        <w:rPr>
          <w:sz w:val="24"/>
        </w:rPr>
        <w:t xml:space="preserve"> impact directly on the way society treats individuals</w:t>
      </w:r>
      <w:r w:rsidR="00BB3F68">
        <w:rPr>
          <w:sz w:val="24"/>
        </w:rPr>
        <w:t xml:space="preserve"> living with the condition</w:t>
      </w:r>
      <w:r w:rsidR="00022EB3">
        <w:rPr>
          <w:sz w:val="24"/>
        </w:rPr>
        <w:t xml:space="preserve">. </w:t>
      </w:r>
    </w:p>
    <w:p w:rsidR="00022EB3" w:rsidRDefault="00022EB3">
      <w:pPr>
        <w:rPr>
          <w:sz w:val="24"/>
        </w:rPr>
      </w:pPr>
      <w:r>
        <w:rPr>
          <w:noProof/>
          <w:sz w:val="24"/>
          <w:szCs w:val="24"/>
          <w:lang w:eastAsia="en-GB"/>
        </w:rPr>
        <w:drawing>
          <wp:anchor distT="0" distB="0" distL="114300" distR="114300" simplePos="0" relativeHeight="251665408" behindDoc="1" locked="0" layoutInCell="1" allowOverlap="1" wp14:anchorId="624F953C" wp14:editId="221D0AD8">
            <wp:simplePos x="0" y="0"/>
            <wp:positionH relativeFrom="column">
              <wp:posOffset>-371475</wp:posOffset>
            </wp:positionH>
            <wp:positionV relativeFrom="paragraph">
              <wp:posOffset>279400</wp:posOffset>
            </wp:positionV>
            <wp:extent cx="6519545" cy="4612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Vb1RvWwAMM60g.jpg"/>
                    <pic:cNvPicPr/>
                  </pic:nvPicPr>
                  <pic:blipFill>
                    <a:blip r:embed="rId6">
                      <a:extLst>
                        <a:ext uri="{28A0092B-C50C-407E-A947-70E740481C1C}">
                          <a14:useLocalDpi xmlns:a14="http://schemas.microsoft.com/office/drawing/2010/main" val="0"/>
                        </a:ext>
                      </a:extLst>
                    </a:blip>
                    <a:stretch>
                      <a:fillRect/>
                    </a:stretch>
                  </pic:blipFill>
                  <pic:spPr>
                    <a:xfrm>
                      <a:off x="0" y="0"/>
                      <a:ext cx="6519545" cy="4612640"/>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sz w:val="24"/>
        </w:rPr>
        <w:br w:type="page"/>
      </w:r>
    </w:p>
    <w:p w:rsidR="007A2C7C" w:rsidRDefault="008F092A" w:rsidP="00022EB3">
      <w:pPr>
        <w:rPr>
          <w:sz w:val="24"/>
        </w:rPr>
      </w:pPr>
      <w:r>
        <w:rPr>
          <w:sz w:val="24"/>
        </w:rPr>
        <w:lastRenderedPageBreak/>
        <w:t xml:space="preserve">One of the most common examples of careless </w:t>
      </w:r>
      <w:r w:rsidR="00677075">
        <w:rPr>
          <w:sz w:val="24"/>
        </w:rPr>
        <w:t xml:space="preserve">language choices with regards to dementia is labelling people who are expressing their feelings as being ‘aggressive’. When we start to understand that people’s actions and words are simply an expression of their emotions, we can start to understand why somebody may appear withdrawn, frustrated or irritated. </w:t>
      </w:r>
    </w:p>
    <w:p w:rsidR="007A2C7C" w:rsidRDefault="00FF327C" w:rsidP="00022EB3">
      <w:pPr>
        <w:rPr>
          <w:sz w:val="24"/>
        </w:rPr>
      </w:pPr>
      <w:r>
        <w:rPr>
          <w:sz w:val="24"/>
        </w:rPr>
        <w:t>F</w:t>
      </w:r>
      <w:r w:rsidR="00677075">
        <w:rPr>
          <w:sz w:val="24"/>
        </w:rPr>
        <w:t>or example, Mr Smith might want to walk around a hospital ward because he is bored or in an unfamiliar environment or to merely stretch his legs. Staff may deem that as being disruptive or unsafe because he may no longer be in an area he can easily be seen</w:t>
      </w:r>
      <w:r w:rsidR="007A2C7C">
        <w:rPr>
          <w:sz w:val="24"/>
        </w:rPr>
        <w:t xml:space="preserve"> by staff</w:t>
      </w:r>
      <w:r w:rsidR="00677075">
        <w:rPr>
          <w:sz w:val="24"/>
        </w:rPr>
        <w:t>. Rather than enabling Mr Smith to walk</w:t>
      </w:r>
      <w:r w:rsidR="007A2C7C">
        <w:rPr>
          <w:sz w:val="24"/>
        </w:rPr>
        <w:t xml:space="preserve"> safely</w:t>
      </w:r>
      <w:r w:rsidR="00677075">
        <w:rPr>
          <w:sz w:val="24"/>
        </w:rPr>
        <w:t>, staff may insist he sits down</w:t>
      </w:r>
      <w:r w:rsidR="007A2C7C">
        <w:rPr>
          <w:sz w:val="24"/>
        </w:rPr>
        <w:t>, or put restrictions in place to make him do so</w:t>
      </w:r>
      <w:r w:rsidR="00677075">
        <w:rPr>
          <w:sz w:val="24"/>
        </w:rPr>
        <w:t>. Naturally this would infuriate anyone</w:t>
      </w:r>
      <w:r w:rsidR="007A2C7C">
        <w:rPr>
          <w:sz w:val="24"/>
        </w:rPr>
        <w:t>,</w:t>
      </w:r>
      <w:r w:rsidR="00677075">
        <w:rPr>
          <w:sz w:val="24"/>
        </w:rPr>
        <w:t xml:space="preserve"> as it removes freedom</w:t>
      </w:r>
      <w:r w:rsidR="007A2C7C">
        <w:rPr>
          <w:sz w:val="24"/>
        </w:rPr>
        <w:t>, autonomy</w:t>
      </w:r>
      <w:r w:rsidR="00677075">
        <w:rPr>
          <w:sz w:val="24"/>
        </w:rPr>
        <w:t xml:space="preserve"> and choice. When Mr Smith expresses these frustrations in ways he still can, he may get labelled as</w:t>
      </w:r>
      <w:r w:rsidR="00DA7099">
        <w:rPr>
          <w:sz w:val="24"/>
        </w:rPr>
        <w:t xml:space="preserve"> having ‘challenging behaviour’ or</w:t>
      </w:r>
      <w:r w:rsidR="00677075">
        <w:rPr>
          <w:sz w:val="24"/>
        </w:rPr>
        <w:t xml:space="preserve"> being ‘disruptive’ and ‘aggressive’. </w:t>
      </w:r>
    </w:p>
    <w:p w:rsidR="00531555" w:rsidRDefault="00677075" w:rsidP="00022EB3">
      <w:pPr>
        <w:rPr>
          <w:sz w:val="24"/>
        </w:rPr>
      </w:pPr>
      <w:r>
        <w:rPr>
          <w:sz w:val="24"/>
        </w:rPr>
        <w:t xml:space="preserve">In </w:t>
      </w:r>
      <w:r w:rsidR="007A2C7C">
        <w:rPr>
          <w:sz w:val="24"/>
        </w:rPr>
        <w:t>similar</w:t>
      </w:r>
      <w:r>
        <w:rPr>
          <w:sz w:val="24"/>
        </w:rPr>
        <w:t xml:space="preserve"> situations, someone who had broken their arm may be encouraged and enabled to remain mobile, independent and in control of their daily choices. Any bad feelings towards their situation would likely be regarded as a natural </w:t>
      </w:r>
      <w:r w:rsidR="007A2C7C">
        <w:rPr>
          <w:sz w:val="24"/>
        </w:rPr>
        <w:t>expression of</w:t>
      </w:r>
      <w:r w:rsidR="00FF327C">
        <w:rPr>
          <w:sz w:val="24"/>
        </w:rPr>
        <w:t xml:space="preserve"> frustration, pain or boredom, o</w:t>
      </w:r>
      <w:r w:rsidR="00795C78">
        <w:rPr>
          <w:sz w:val="24"/>
        </w:rPr>
        <w:t>therwise known as normal human responses.</w:t>
      </w:r>
    </w:p>
    <w:p w:rsidR="008F092A" w:rsidRDefault="00795C78" w:rsidP="00022EB3">
      <w:pPr>
        <w:rPr>
          <w:i/>
          <w:sz w:val="24"/>
        </w:rPr>
      </w:pPr>
      <w:r>
        <w:rPr>
          <w:sz w:val="24"/>
        </w:rPr>
        <w:t xml:space="preserve">This is just one of the many examples we could all share to demonstrate </w:t>
      </w:r>
      <w:r w:rsidR="00531555">
        <w:rPr>
          <w:sz w:val="24"/>
        </w:rPr>
        <w:t>ways in which our choice of words can impact so prominently on people’s experiences</w:t>
      </w:r>
      <w:r w:rsidR="0003370D">
        <w:rPr>
          <w:sz w:val="24"/>
        </w:rPr>
        <w:t xml:space="preserve"> of services</w:t>
      </w:r>
      <w:r w:rsidR="00531555">
        <w:rPr>
          <w:sz w:val="24"/>
        </w:rPr>
        <w:t xml:space="preserve">. </w:t>
      </w:r>
      <w:r w:rsidR="002D23E6">
        <w:rPr>
          <w:sz w:val="24"/>
        </w:rPr>
        <w:t xml:space="preserve">Ian </w:t>
      </w:r>
      <w:proofErr w:type="spellStart"/>
      <w:r w:rsidR="002D23E6">
        <w:rPr>
          <w:sz w:val="24"/>
        </w:rPr>
        <w:t>Donaghy</w:t>
      </w:r>
      <w:proofErr w:type="spellEnd"/>
      <w:r w:rsidR="002D23E6">
        <w:rPr>
          <w:sz w:val="24"/>
        </w:rPr>
        <w:t xml:space="preserve"> illustrates this concept beautifully in his book, </w:t>
      </w:r>
      <w:r w:rsidR="002D23E6" w:rsidRPr="002D23E6">
        <w:rPr>
          <w:i/>
          <w:sz w:val="24"/>
        </w:rPr>
        <w:t>‘Dear Dementia’</w:t>
      </w:r>
    </w:p>
    <w:p w:rsidR="002D23E6" w:rsidRDefault="002D23E6" w:rsidP="00022EB3">
      <w:pPr>
        <w:rPr>
          <w:sz w:val="24"/>
        </w:rPr>
      </w:pPr>
      <w:r>
        <w:rPr>
          <w:noProof/>
          <w:sz w:val="24"/>
          <w:lang w:eastAsia="en-GB"/>
        </w:rPr>
        <w:drawing>
          <wp:anchor distT="0" distB="0" distL="114300" distR="114300" simplePos="0" relativeHeight="251666432" behindDoc="1" locked="0" layoutInCell="1" allowOverlap="1">
            <wp:simplePos x="0" y="0"/>
            <wp:positionH relativeFrom="column">
              <wp:posOffset>313690</wp:posOffset>
            </wp:positionH>
            <wp:positionV relativeFrom="paragraph">
              <wp:posOffset>257175</wp:posOffset>
            </wp:positionV>
            <wp:extent cx="4912995" cy="4587875"/>
            <wp:effectExtent l="0" t="0" r="1905" b="3175"/>
            <wp:wrapThrough wrapText="bothSides">
              <wp:wrapPolygon edited="0">
                <wp:start x="0" y="0"/>
                <wp:lineTo x="0" y="21525"/>
                <wp:lineTo x="21525" y="21525"/>
                <wp:lineTo x="2152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4912995" cy="4587875"/>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531555" w:rsidRPr="004F3A88" w:rsidRDefault="00531555" w:rsidP="00531555">
      <w:pPr>
        <w:rPr>
          <w:b/>
          <w:color w:val="00AEEF"/>
          <w:sz w:val="28"/>
          <w:szCs w:val="24"/>
        </w:rPr>
      </w:pPr>
      <w:r>
        <w:rPr>
          <w:b/>
          <w:color w:val="00AEEF"/>
          <w:sz w:val="28"/>
          <w:szCs w:val="24"/>
        </w:rPr>
        <w:lastRenderedPageBreak/>
        <w:t>Changing Language</w:t>
      </w:r>
      <w:r w:rsidR="00FD7CB4">
        <w:rPr>
          <w:b/>
          <w:color w:val="00AEEF"/>
          <w:sz w:val="28"/>
          <w:szCs w:val="24"/>
        </w:rPr>
        <w:t xml:space="preserve"> Today</w:t>
      </w:r>
    </w:p>
    <w:p w:rsidR="00022EB3" w:rsidRDefault="00022EB3" w:rsidP="00022EB3">
      <w:pPr>
        <w:rPr>
          <w:sz w:val="24"/>
        </w:rPr>
      </w:pPr>
      <w:r>
        <w:rPr>
          <w:sz w:val="24"/>
        </w:rPr>
        <w:t>It i</w:t>
      </w:r>
      <w:r w:rsidRPr="00022EB3">
        <w:rPr>
          <w:sz w:val="24"/>
        </w:rPr>
        <w:t>s striking how much influence words have on the way we view &amp; treat people</w:t>
      </w:r>
      <w:r w:rsidR="00407780">
        <w:rPr>
          <w:sz w:val="24"/>
        </w:rPr>
        <w:t>,</w:t>
      </w:r>
      <w:r>
        <w:rPr>
          <w:sz w:val="24"/>
        </w:rPr>
        <w:t xml:space="preserve"> which in turn can be hugely </w:t>
      </w:r>
      <w:r w:rsidR="00A525D8">
        <w:rPr>
          <w:sz w:val="24"/>
        </w:rPr>
        <w:t>influential</w:t>
      </w:r>
      <w:r>
        <w:rPr>
          <w:sz w:val="24"/>
        </w:rPr>
        <w:t xml:space="preserve"> on the way somebody views themselves and their </w:t>
      </w:r>
      <w:r w:rsidR="00FD7CB4">
        <w:rPr>
          <w:sz w:val="24"/>
        </w:rPr>
        <w:t xml:space="preserve">own </w:t>
      </w:r>
      <w:r w:rsidR="00407780">
        <w:rPr>
          <w:sz w:val="24"/>
        </w:rPr>
        <w:t>self-worth</w:t>
      </w:r>
      <w:r w:rsidRPr="00022EB3">
        <w:rPr>
          <w:sz w:val="24"/>
        </w:rPr>
        <w:t>.</w:t>
      </w:r>
      <w:r w:rsidR="00FD7CB4">
        <w:rPr>
          <w:sz w:val="24"/>
        </w:rPr>
        <w:t xml:space="preserve"> </w:t>
      </w:r>
      <w:r>
        <w:rPr>
          <w:sz w:val="24"/>
        </w:rPr>
        <w:t xml:space="preserve">Life with dementia can </w:t>
      </w:r>
      <w:r w:rsidR="00407780">
        <w:rPr>
          <w:sz w:val="24"/>
        </w:rPr>
        <w:t xml:space="preserve">undoubtedly </w:t>
      </w:r>
      <w:r>
        <w:rPr>
          <w:sz w:val="24"/>
        </w:rPr>
        <w:t xml:space="preserve">be difficult and uncertain, but it can also be filled with joy, laughter, purpose, significance and </w:t>
      </w:r>
      <w:r w:rsidR="008F092A" w:rsidRPr="008F092A">
        <w:rPr>
          <w:sz w:val="24"/>
        </w:rPr>
        <w:t>joie de vivre</w:t>
      </w:r>
      <w:r w:rsidR="008F092A">
        <w:rPr>
          <w:sz w:val="24"/>
        </w:rPr>
        <w:t>!</w:t>
      </w:r>
      <w:r w:rsidR="00FD7CB4">
        <w:rPr>
          <w:sz w:val="24"/>
        </w:rPr>
        <w:t xml:space="preserve"> </w:t>
      </w:r>
    </w:p>
    <w:p w:rsidR="00FD7CB4" w:rsidRDefault="00FD7CB4" w:rsidP="00022EB3">
      <w:pPr>
        <w:rPr>
          <w:sz w:val="24"/>
        </w:rPr>
      </w:pPr>
      <w:r>
        <w:rPr>
          <w:sz w:val="24"/>
        </w:rPr>
        <w:t xml:space="preserve">When the way people living with dementia </w:t>
      </w:r>
      <w:r w:rsidR="00253AB9">
        <w:rPr>
          <w:sz w:val="24"/>
        </w:rPr>
        <w:t>express themselves is</w:t>
      </w:r>
      <w:r>
        <w:rPr>
          <w:sz w:val="24"/>
        </w:rPr>
        <w:t xml:space="preserve"> described negatively, the onus is on </w:t>
      </w:r>
      <w:r w:rsidRPr="00253AB9">
        <w:rPr>
          <w:b/>
          <w:sz w:val="24"/>
          <w:u w:val="single"/>
        </w:rPr>
        <w:t>us</w:t>
      </w:r>
      <w:r>
        <w:rPr>
          <w:sz w:val="24"/>
        </w:rPr>
        <w:t xml:space="preserve"> to improve our compassion, understanding and communication. That is why Dementia Advice Sheffield is setting the</w:t>
      </w:r>
      <w:r w:rsidR="0064794A">
        <w:rPr>
          <w:sz w:val="24"/>
        </w:rPr>
        <w:t xml:space="preserve"> </w:t>
      </w:r>
      <w:r w:rsidR="0064794A" w:rsidRPr="0064794A">
        <w:rPr>
          <w:sz w:val="24"/>
        </w:rPr>
        <w:t>#</w:t>
      </w:r>
      <w:proofErr w:type="spellStart"/>
      <w:r w:rsidR="0064794A" w:rsidRPr="0064794A">
        <w:rPr>
          <w:sz w:val="24"/>
        </w:rPr>
        <w:t>languagematterschallenge</w:t>
      </w:r>
      <w:proofErr w:type="spellEnd"/>
      <w:r>
        <w:rPr>
          <w:sz w:val="24"/>
        </w:rPr>
        <w:t xml:space="preserve"> for 2020.</w:t>
      </w:r>
    </w:p>
    <w:p w:rsidR="00FD7CB4" w:rsidRDefault="00FD7CB4" w:rsidP="00022EB3">
      <w:pPr>
        <w:rPr>
          <w:sz w:val="24"/>
        </w:rPr>
      </w:pPr>
      <w:r>
        <w:rPr>
          <w:sz w:val="24"/>
        </w:rPr>
        <w:t xml:space="preserve">Send us ways you and your organisation have worked to positively change language around dementia and you could feature </w:t>
      </w:r>
      <w:r w:rsidR="00CB7061">
        <w:rPr>
          <w:sz w:val="24"/>
        </w:rPr>
        <w:t>as</w:t>
      </w:r>
      <w:r>
        <w:rPr>
          <w:sz w:val="24"/>
        </w:rPr>
        <w:t xml:space="preserve"> our dementia friendly star of the month! You can enter your #</w:t>
      </w:r>
      <w:proofErr w:type="spellStart"/>
      <w:r>
        <w:rPr>
          <w:sz w:val="24"/>
        </w:rPr>
        <w:t>languagematterschallenge</w:t>
      </w:r>
      <w:proofErr w:type="spellEnd"/>
      <w:r>
        <w:rPr>
          <w:sz w:val="24"/>
        </w:rPr>
        <w:t xml:space="preserve"> nominations via any of the contact details below. </w:t>
      </w:r>
    </w:p>
    <w:p w:rsidR="001C401F" w:rsidRDefault="001C401F" w:rsidP="001C401F">
      <w:pPr>
        <w:rPr>
          <w:b/>
          <w:color w:val="83034F"/>
          <w:sz w:val="48"/>
        </w:rPr>
      </w:pPr>
      <w:r w:rsidRPr="00253AB9">
        <w:rPr>
          <w:b/>
          <w:color w:val="83034F"/>
          <w:sz w:val="48"/>
        </w:rPr>
        <w:t>#</w:t>
      </w:r>
      <w:proofErr w:type="spellStart"/>
      <w:r w:rsidRPr="00253AB9">
        <w:rPr>
          <w:b/>
          <w:color w:val="83034F"/>
          <w:sz w:val="48"/>
        </w:rPr>
        <w:t>LanguageMattersChallenge</w:t>
      </w:r>
      <w:proofErr w:type="spellEnd"/>
      <w:r w:rsidRPr="00253AB9">
        <w:rPr>
          <w:b/>
          <w:color w:val="83034F"/>
          <w:sz w:val="48"/>
        </w:rPr>
        <w:t xml:space="preserve"> </w:t>
      </w:r>
    </w:p>
    <w:p w:rsidR="001C401F" w:rsidRDefault="001C401F" w:rsidP="00022EB3">
      <w:pPr>
        <w:rPr>
          <w:sz w:val="24"/>
        </w:rPr>
      </w:pPr>
    </w:p>
    <w:p w:rsidR="001C401F" w:rsidRDefault="001C401F" w:rsidP="00022EB3">
      <w:pPr>
        <w:rPr>
          <w:b/>
          <w:color w:val="00AEEF"/>
          <w:sz w:val="28"/>
          <w:szCs w:val="24"/>
        </w:rPr>
      </w:pPr>
      <w:r>
        <w:rPr>
          <w:noProof/>
          <w:sz w:val="24"/>
          <w:lang w:eastAsia="en-GB"/>
        </w:rPr>
        <w:drawing>
          <wp:anchor distT="0" distB="0" distL="114300" distR="114300" simplePos="0" relativeHeight="251667456" behindDoc="0" locked="0" layoutInCell="1" allowOverlap="1" wp14:anchorId="038D1C71" wp14:editId="5788D053">
            <wp:simplePos x="0" y="0"/>
            <wp:positionH relativeFrom="column">
              <wp:posOffset>666115</wp:posOffset>
            </wp:positionH>
            <wp:positionV relativeFrom="paragraph">
              <wp:posOffset>62230</wp:posOffset>
            </wp:positionV>
            <wp:extent cx="4189730" cy="1596390"/>
            <wp:effectExtent l="0" t="0" r="127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png"/>
                    <pic:cNvPicPr/>
                  </pic:nvPicPr>
                  <pic:blipFill rotWithShape="1">
                    <a:blip r:embed="rId8">
                      <a:extLst>
                        <a:ext uri="{28A0092B-C50C-407E-A947-70E740481C1C}">
                          <a14:useLocalDpi xmlns:a14="http://schemas.microsoft.com/office/drawing/2010/main" val="0"/>
                        </a:ext>
                      </a:extLst>
                    </a:blip>
                    <a:srcRect t="9122" b="14659"/>
                    <a:stretch/>
                  </pic:blipFill>
                  <pic:spPr bwMode="auto">
                    <a:xfrm>
                      <a:off x="0" y="0"/>
                      <a:ext cx="4189730"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401F" w:rsidRDefault="001C401F" w:rsidP="00022EB3">
      <w:pPr>
        <w:rPr>
          <w:b/>
          <w:color w:val="00AEEF"/>
          <w:sz w:val="28"/>
          <w:szCs w:val="24"/>
        </w:rPr>
      </w:pPr>
    </w:p>
    <w:p w:rsidR="00FD7CB4" w:rsidRDefault="00253AB9" w:rsidP="00022EB3">
      <w:pPr>
        <w:rPr>
          <w:sz w:val="24"/>
        </w:rPr>
      </w:pPr>
      <w:r>
        <w:rPr>
          <w:b/>
          <w:color w:val="00AEEF"/>
          <w:sz w:val="28"/>
          <w:szCs w:val="24"/>
        </w:rPr>
        <w:t>A Final ‘Word’</w:t>
      </w:r>
    </w:p>
    <w:p w:rsidR="003907FE" w:rsidRDefault="00253AB9">
      <w:pPr>
        <w:rPr>
          <w:sz w:val="24"/>
        </w:rPr>
      </w:pPr>
      <w:r>
        <w:rPr>
          <w:sz w:val="24"/>
        </w:rPr>
        <w:t xml:space="preserve">Language around dementia has the potential to be inspirational, encouraging, positive and compassionate. Let’s use the New Year and the whole of 2020 to positively transform the way dementia is spoken and written about. </w:t>
      </w:r>
      <w:r w:rsidR="00022EB3" w:rsidRPr="00022EB3">
        <w:rPr>
          <w:sz w:val="24"/>
        </w:rPr>
        <w:t>Kindness, dignity, caution &amp; respect cost nothing but time and co</w:t>
      </w:r>
      <w:r w:rsidR="00FD7CB4">
        <w:rPr>
          <w:sz w:val="24"/>
        </w:rPr>
        <w:t>nsideration</w:t>
      </w:r>
      <w:r w:rsidR="00E328B3">
        <w:rPr>
          <w:sz w:val="24"/>
        </w:rPr>
        <w:t>.</w:t>
      </w:r>
    </w:p>
    <w:p w:rsidR="001C401F" w:rsidRDefault="001C401F">
      <w:pPr>
        <w:rPr>
          <w:sz w:val="24"/>
        </w:rPr>
      </w:pPr>
    </w:p>
    <w:p w:rsidR="001C401F" w:rsidRDefault="001C401F">
      <w:pPr>
        <w:rPr>
          <w:sz w:val="24"/>
        </w:rPr>
      </w:pPr>
    </w:p>
    <w:p w:rsidR="001C401F" w:rsidRDefault="001C401F" w:rsidP="001C401F">
      <w:pPr>
        <w:rPr>
          <w:b/>
          <w:color w:val="83034F"/>
          <w:sz w:val="48"/>
        </w:rPr>
      </w:pPr>
    </w:p>
    <w:p w:rsidR="001C401F" w:rsidRPr="001C401F" w:rsidRDefault="001C401F" w:rsidP="003907FE">
      <w:pPr>
        <w:rPr>
          <w:b/>
          <w:color w:val="83034F"/>
          <w:sz w:val="40"/>
          <w:szCs w:val="24"/>
        </w:rPr>
      </w:pPr>
      <w:r w:rsidRPr="001C401F">
        <w:rPr>
          <w:b/>
          <w:color w:val="83034F"/>
          <w:sz w:val="40"/>
          <w:szCs w:val="24"/>
        </w:rPr>
        <w:lastRenderedPageBreak/>
        <w:t>Some really helpful resources and further reading on this topic</w:t>
      </w:r>
    </w:p>
    <w:p w:rsidR="003907FE" w:rsidRPr="003907FE" w:rsidRDefault="003907FE" w:rsidP="003907FE">
      <w:pPr>
        <w:rPr>
          <w:rFonts w:ascii="Calibri" w:hAnsi="Calibri"/>
          <w:color w:val="1F497D"/>
        </w:rPr>
      </w:pPr>
      <w:r>
        <w:rPr>
          <w:rFonts w:ascii="Calibri" w:hAnsi="Calibri"/>
          <w:b/>
          <w:color w:val="1F497D"/>
        </w:rPr>
        <w:t>Language Around D</w:t>
      </w:r>
      <w:r w:rsidRPr="000C1CE3">
        <w:rPr>
          <w:rFonts w:ascii="Calibri" w:hAnsi="Calibri"/>
          <w:b/>
          <w:color w:val="1F497D"/>
        </w:rPr>
        <w:t>ementia</w:t>
      </w:r>
      <w:r>
        <w:rPr>
          <w:rFonts w:ascii="Calibri" w:hAnsi="Calibri"/>
          <w:b/>
          <w:color w:val="1F497D"/>
        </w:rPr>
        <w:t xml:space="preserve"> Guide:</w:t>
      </w:r>
      <w:r>
        <w:rPr>
          <w:rFonts w:ascii="Calibri" w:hAnsi="Calibri"/>
          <w:b/>
          <w:color w:val="1F497D"/>
        </w:rPr>
        <w:br/>
      </w:r>
      <w:r w:rsidRPr="000C1CE3">
        <w:rPr>
          <w:rFonts w:ascii="Calibri" w:hAnsi="Calibri"/>
          <w:color w:val="1F497D"/>
        </w:rPr>
        <w:t>A guide from the Alzheimer’s society</w:t>
      </w:r>
      <w:r>
        <w:rPr>
          <w:rFonts w:ascii="Calibri" w:hAnsi="Calibri"/>
          <w:b/>
          <w:color w:val="1F497D"/>
        </w:rPr>
        <w:br/>
      </w:r>
      <w:hyperlink r:id="rId9" w:history="1">
        <w:r w:rsidRPr="008B71BB">
          <w:rPr>
            <w:rStyle w:val="Hyperlink"/>
            <w:rFonts w:ascii="Calibri" w:hAnsi="Calibri"/>
          </w:rPr>
          <w:t>https://www.alzheimers.org.uk/sites/default/files/2018-09/Positive%20language%20guide_0.pdf</w:t>
        </w:r>
      </w:hyperlink>
      <w:r>
        <w:rPr>
          <w:rFonts w:ascii="Calibri" w:hAnsi="Calibri"/>
          <w:color w:val="1F497D"/>
        </w:rPr>
        <w:br/>
      </w:r>
      <w:r>
        <w:rPr>
          <w:rFonts w:ascii="Calibri" w:hAnsi="Calibri"/>
          <w:color w:val="1F497D"/>
        </w:rPr>
        <w:br/>
      </w:r>
      <w:r w:rsidRPr="000C1CE3">
        <w:rPr>
          <w:rFonts w:ascii="Calibri" w:hAnsi="Calibri"/>
          <w:b/>
          <w:color w:val="1F497D"/>
        </w:rPr>
        <w:t>Language you should and shouldn’t use:</w:t>
      </w:r>
      <w:r>
        <w:rPr>
          <w:rFonts w:ascii="Calibri" w:hAnsi="Calibri"/>
          <w:color w:val="1F497D"/>
        </w:rPr>
        <w:br/>
        <w:t xml:space="preserve">A guide from DEEP, which is an involvement and empowerment group made up of people living with dementia about what language you should and should not use when talking to or about somebody living with dementia </w:t>
      </w:r>
      <w:r>
        <w:rPr>
          <w:rFonts w:ascii="Calibri" w:hAnsi="Calibri"/>
          <w:color w:val="1F497D"/>
        </w:rPr>
        <w:br/>
      </w:r>
      <w:hyperlink r:id="rId10" w:history="1">
        <w:r>
          <w:rPr>
            <w:rStyle w:val="Hyperlink"/>
            <w:rFonts w:ascii="Calibri" w:hAnsi="Calibri"/>
          </w:rPr>
          <w:t>http://dementiavoices.org.uk/wp-content/uploads/2015/03/DEEP-Guide-Language.pdf</w:t>
        </w:r>
      </w:hyperlink>
      <w:r>
        <w:rPr>
          <w:rFonts w:ascii="Calibri" w:hAnsi="Calibri"/>
          <w:color w:val="1F497D"/>
        </w:rPr>
        <w:br/>
      </w:r>
      <w:r>
        <w:rPr>
          <w:rFonts w:ascii="Calibri" w:hAnsi="Calibri"/>
          <w:color w:val="1F497D"/>
          <w:u w:val="single"/>
        </w:rPr>
        <w:br/>
      </w:r>
      <w:r w:rsidRPr="000C1CE3">
        <w:rPr>
          <w:rFonts w:ascii="Calibri" w:hAnsi="Calibri"/>
          <w:b/>
          <w:color w:val="1F497D"/>
        </w:rPr>
        <w:t>Impacts of negative language research:</w:t>
      </w:r>
      <w:r>
        <w:rPr>
          <w:rFonts w:ascii="Calibri" w:hAnsi="Calibri"/>
          <w:b/>
          <w:color w:val="1F497D"/>
        </w:rPr>
        <w:br/>
      </w:r>
      <w:r>
        <w:rPr>
          <w:rFonts w:ascii="Calibri" w:hAnsi="Calibri"/>
          <w:color w:val="1F497D"/>
        </w:rPr>
        <w:t>A research article in The Lancet journal about how negative language can disable people living with dementia more than the disease itself</w:t>
      </w:r>
    </w:p>
    <w:p w:rsidR="003907FE" w:rsidRDefault="003907FE" w:rsidP="003907FE">
      <w:pPr>
        <w:rPr>
          <w:rFonts w:ascii="Calibri" w:hAnsi="Calibri"/>
          <w:color w:val="1F497D"/>
        </w:rPr>
      </w:pPr>
      <w:hyperlink r:id="rId11" w:history="1">
        <w:r>
          <w:rPr>
            <w:rStyle w:val="Hyperlink"/>
            <w:rFonts w:ascii="Calibri" w:hAnsi="Calibri"/>
          </w:rPr>
          <w:t>https://www.thelancet.com/action/showPdf?pii=S0140-6736%2810%2961286-X</w:t>
        </w:r>
      </w:hyperlink>
      <w:r>
        <w:rPr>
          <w:rFonts w:ascii="Calibri" w:hAnsi="Calibri"/>
          <w:color w:val="1F497D"/>
        </w:rPr>
        <w:t xml:space="preserve"> </w:t>
      </w:r>
    </w:p>
    <w:p w:rsidR="003907FE" w:rsidRPr="000C1CE3" w:rsidRDefault="003907FE" w:rsidP="003907FE">
      <w:pPr>
        <w:rPr>
          <w:rFonts w:ascii="Calibri" w:hAnsi="Calibri"/>
          <w:b/>
          <w:color w:val="1F497D"/>
        </w:rPr>
      </w:pPr>
      <w:r>
        <w:rPr>
          <w:rFonts w:ascii="Calibri" w:hAnsi="Calibri"/>
          <w:b/>
          <w:color w:val="1F497D"/>
        </w:rPr>
        <w:t>101 R</w:t>
      </w:r>
      <w:r w:rsidRPr="000C1CE3">
        <w:rPr>
          <w:rFonts w:ascii="Calibri" w:hAnsi="Calibri"/>
          <w:b/>
          <w:color w:val="1F497D"/>
        </w:rPr>
        <w:t>easons</w:t>
      </w:r>
      <w:proofErr w:type="gramStart"/>
      <w:r>
        <w:rPr>
          <w:rFonts w:ascii="Calibri" w:hAnsi="Calibri"/>
          <w:b/>
          <w:color w:val="1F497D"/>
        </w:rPr>
        <w:t>:</w:t>
      </w:r>
      <w:proofErr w:type="gramEnd"/>
      <w:r>
        <w:rPr>
          <w:rFonts w:ascii="Calibri" w:hAnsi="Calibri"/>
          <w:b/>
          <w:color w:val="1F497D"/>
        </w:rPr>
        <w:br/>
      </w:r>
      <w:r>
        <w:rPr>
          <w:rFonts w:ascii="Calibri" w:hAnsi="Calibri"/>
          <w:color w:val="1F497D"/>
        </w:rPr>
        <w:t>Reasons which might help to explain the way people with dementia express their needs, commonly mislabelled as ‘challenging behaviour’</w:t>
      </w:r>
    </w:p>
    <w:p w:rsidR="003907FE" w:rsidRPr="000C1CE3" w:rsidRDefault="003907FE" w:rsidP="003907FE">
      <w:pPr>
        <w:rPr>
          <w:rFonts w:ascii="Calibri" w:hAnsi="Calibri"/>
          <w:color w:val="1F497D"/>
        </w:rPr>
      </w:pPr>
      <w:hyperlink r:id="rId12" w:history="1">
        <w:r>
          <w:rPr>
            <w:rStyle w:val="Hyperlink"/>
            <w:rFonts w:ascii="Calibri" w:hAnsi="Calibri"/>
          </w:rPr>
          <w:t>http://myalzheimersstory.com/2017/11/25/101-potential-causes-of-behaviours-by-people-living-with-dementia-that-institutional-care-staff-may-find-challenging/</w:t>
        </w:r>
      </w:hyperlink>
      <w:r>
        <w:rPr>
          <w:rFonts w:ascii="Calibri" w:hAnsi="Calibri"/>
          <w:color w:val="1F497D"/>
        </w:rPr>
        <w:t xml:space="preserve">  </w:t>
      </w:r>
      <w:r>
        <w:rPr>
          <w:rFonts w:ascii="Calibri" w:hAnsi="Calibri"/>
          <w:color w:val="1F497D"/>
        </w:rPr>
        <w:br/>
      </w:r>
      <w:r>
        <w:rPr>
          <w:rFonts w:ascii="Calibri" w:hAnsi="Calibri"/>
          <w:color w:val="1F497D"/>
        </w:rPr>
        <w:br/>
      </w:r>
      <w:r w:rsidRPr="000C1CE3">
        <w:rPr>
          <w:rFonts w:ascii="Calibri" w:hAnsi="Calibri"/>
          <w:b/>
          <w:color w:val="1F497D"/>
        </w:rPr>
        <w:t>Personal Insight and experience of the stigmatising impact of words</w:t>
      </w:r>
      <w:proofErr w:type="gramStart"/>
      <w:r>
        <w:rPr>
          <w:rFonts w:ascii="Calibri" w:hAnsi="Calibri"/>
          <w:b/>
          <w:color w:val="1F497D"/>
        </w:rPr>
        <w:t>:</w:t>
      </w:r>
      <w:proofErr w:type="gramEnd"/>
      <w:r>
        <w:rPr>
          <w:rFonts w:ascii="Calibri" w:hAnsi="Calibri"/>
          <w:b/>
          <w:color w:val="1F497D"/>
        </w:rPr>
        <w:br/>
      </w:r>
      <w:r>
        <w:rPr>
          <w:rFonts w:ascii="Calibri" w:hAnsi="Calibri"/>
          <w:color w:val="1F497D"/>
        </w:rPr>
        <w:t xml:space="preserve">Kate </w:t>
      </w:r>
      <w:proofErr w:type="spellStart"/>
      <w:r>
        <w:rPr>
          <w:rFonts w:ascii="Calibri" w:hAnsi="Calibri"/>
          <w:color w:val="1F497D"/>
        </w:rPr>
        <w:t>Swaffer</w:t>
      </w:r>
      <w:proofErr w:type="spellEnd"/>
      <w:r>
        <w:rPr>
          <w:rFonts w:ascii="Calibri" w:hAnsi="Calibri"/>
          <w:color w:val="1F497D"/>
        </w:rPr>
        <w:t xml:space="preserve"> lives with early onset dementia and blogs about her experiences. Here she talks about how our language can stigmatise and marginalise people living with dementia</w:t>
      </w:r>
    </w:p>
    <w:p w:rsidR="001C401F" w:rsidRDefault="003907FE" w:rsidP="003907FE">
      <w:pPr>
        <w:rPr>
          <w:rFonts w:ascii="Calibri" w:hAnsi="Calibri"/>
          <w:color w:val="1F497D"/>
        </w:rPr>
      </w:pPr>
      <w:hyperlink r:id="rId13" w:history="1">
        <w:r>
          <w:rPr>
            <w:rStyle w:val="Hyperlink"/>
            <w:rFonts w:ascii="Calibri" w:hAnsi="Calibri"/>
          </w:rPr>
          <w:t>https://kateswaffer.com/2018/09/03/rethinking-dementia-normal-human-responses-2/</w:t>
        </w:r>
      </w:hyperlink>
    </w:p>
    <w:p w:rsidR="00EC0D39" w:rsidRPr="00022EB3" w:rsidRDefault="001C401F" w:rsidP="00022EB3">
      <w:pPr>
        <w:rPr>
          <w:sz w:val="24"/>
        </w:rPr>
      </w:pPr>
      <w:r>
        <w:rPr>
          <w:noProof/>
          <w:sz w:val="24"/>
          <w:lang w:eastAsia="en-GB"/>
        </w:rPr>
        <w:drawing>
          <wp:anchor distT="0" distB="0" distL="114300" distR="114300" simplePos="0" relativeHeight="251668480" behindDoc="1" locked="0" layoutInCell="1" allowOverlap="1" wp14:anchorId="1DA43944" wp14:editId="40359C53">
            <wp:simplePos x="0" y="0"/>
            <wp:positionH relativeFrom="column">
              <wp:posOffset>3789045</wp:posOffset>
            </wp:positionH>
            <wp:positionV relativeFrom="paragraph">
              <wp:posOffset>142875</wp:posOffset>
            </wp:positionV>
            <wp:extent cx="2383155" cy="3372485"/>
            <wp:effectExtent l="0" t="0" r="0" b="0"/>
            <wp:wrapTight wrapText="bothSides">
              <wp:wrapPolygon edited="0">
                <wp:start x="0" y="0"/>
                <wp:lineTo x="0" y="21474"/>
                <wp:lineTo x="21410" y="21474"/>
                <wp:lineTo x="214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IVb7sXsAAepX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3155" cy="3372485"/>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sz w:val="24"/>
          <w:lang w:eastAsia="en-GB"/>
        </w:rPr>
        <mc:AlternateContent>
          <mc:Choice Requires="wps">
            <w:drawing>
              <wp:anchor distT="0" distB="0" distL="114300" distR="114300" simplePos="0" relativeHeight="251670528" behindDoc="0" locked="0" layoutInCell="1" allowOverlap="1" wp14:anchorId="7B90B1C5" wp14:editId="7900C714">
                <wp:simplePos x="0" y="0"/>
                <wp:positionH relativeFrom="column">
                  <wp:posOffset>-598170</wp:posOffset>
                </wp:positionH>
                <wp:positionV relativeFrom="paragraph">
                  <wp:posOffset>885825</wp:posOffset>
                </wp:positionV>
                <wp:extent cx="3766820" cy="1293495"/>
                <wp:effectExtent l="0" t="0" r="5080" b="1905"/>
                <wp:wrapNone/>
                <wp:docPr id="14" name="Text Box 14"/>
                <wp:cNvGraphicFramePr/>
                <a:graphic xmlns:a="http://schemas.openxmlformats.org/drawingml/2006/main">
                  <a:graphicData uri="http://schemas.microsoft.com/office/word/2010/wordprocessingShape">
                    <wps:wsp>
                      <wps:cNvSpPr txBox="1"/>
                      <wps:spPr>
                        <a:xfrm>
                          <a:off x="0" y="0"/>
                          <a:ext cx="3766820" cy="1293495"/>
                        </a:xfrm>
                        <a:prstGeom prst="rect">
                          <a:avLst/>
                        </a:prstGeom>
                        <a:solidFill>
                          <a:sysClr val="window" lastClr="FFFFFF"/>
                        </a:solidFill>
                        <a:ln w="6350">
                          <a:noFill/>
                        </a:ln>
                        <a:effectLst/>
                      </wps:spPr>
                      <wps:txbx>
                        <w:txbxContent>
                          <w:p w:rsidR="001C401F" w:rsidRPr="005929A7" w:rsidRDefault="001C401F" w:rsidP="001C401F">
                            <w:pPr>
                              <w:jc w:val="center"/>
                              <w:rPr>
                                <w:b/>
                                <w:color w:val="83034F"/>
                                <w:sz w:val="24"/>
                              </w:rPr>
                            </w:pPr>
                            <w:r w:rsidRPr="005929A7">
                              <w:rPr>
                                <w:b/>
                                <w:color w:val="83034F"/>
                                <w:sz w:val="24"/>
                              </w:rPr>
                              <w:t>For specific advice &amp; information contact Sheffield’s Dementia Advice Service:</w:t>
                            </w:r>
                          </w:p>
                          <w:p w:rsidR="001C401F" w:rsidRPr="005929A7" w:rsidRDefault="001C401F" w:rsidP="001C401F">
                            <w:pPr>
                              <w:jc w:val="center"/>
                              <w:rPr>
                                <w:color w:val="83034F"/>
                                <w:sz w:val="24"/>
                              </w:rPr>
                            </w:pPr>
                            <w:r w:rsidRPr="005929A7">
                              <w:rPr>
                                <w:color w:val="83034F"/>
                                <w:sz w:val="24"/>
                              </w:rPr>
                              <w:t>0114 250 2875</w:t>
                            </w:r>
                          </w:p>
                          <w:p w:rsidR="001C401F" w:rsidRPr="005929A7" w:rsidRDefault="001C401F" w:rsidP="001C401F">
                            <w:pPr>
                              <w:jc w:val="center"/>
                              <w:rPr>
                                <w:color w:val="83034F"/>
                                <w:sz w:val="24"/>
                              </w:rPr>
                            </w:pPr>
                            <w:r w:rsidRPr="005929A7">
                              <w:rPr>
                                <w:color w:val="83034F"/>
                                <w:sz w:val="24"/>
                              </w:rPr>
                              <w:t>dementiaadvice@ageuksheffield.org.uk</w:t>
                            </w:r>
                          </w:p>
                          <w:p w:rsidR="001C401F" w:rsidRDefault="001C401F" w:rsidP="001C401F">
                            <w:pPr>
                              <w:rPr>
                                <w:color w:val="83034F"/>
                              </w:rPr>
                            </w:pPr>
                          </w:p>
                          <w:p w:rsidR="001C401F" w:rsidRDefault="001C401F" w:rsidP="001C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7.1pt;margin-top:69.75pt;width:296.6pt;height:10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" fillcolor="window" stroked="f" strokeweight=".5pt">
                <v:textbox>
                  <w:txbxContent>
                    <w:p w:rsidR="001C401F" w:rsidRPr="005929A7" w:rsidRDefault="001C401F" w:rsidP="001C401F">
                      <w:pPr>
                        <w:jc w:val="center"/>
                        <w:rPr>
                          <w:b/>
                          <w:color w:val="83034F"/>
                          <w:sz w:val="24"/>
                        </w:rPr>
                      </w:pPr>
                      <w:r w:rsidRPr="005929A7">
                        <w:rPr>
                          <w:b/>
                          <w:color w:val="83034F"/>
                          <w:sz w:val="24"/>
                        </w:rPr>
                        <w:t>For specific advice &amp; information contact Sheffield’s Dementia Advice Service:</w:t>
                      </w:r>
                    </w:p>
                    <w:p w:rsidR="001C401F" w:rsidRPr="005929A7" w:rsidRDefault="001C401F" w:rsidP="001C401F">
                      <w:pPr>
                        <w:jc w:val="center"/>
                        <w:rPr>
                          <w:color w:val="83034F"/>
                          <w:sz w:val="24"/>
                        </w:rPr>
                      </w:pPr>
                      <w:r w:rsidRPr="005929A7">
                        <w:rPr>
                          <w:color w:val="83034F"/>
                          <w:sz w:val="24"/>
                        </w:rPr>
                        <w:t>0114 250 2875</w:t>
                      </w:r>
                    </w:p>
                    <w:p w:rsidR="001C401F" w:rsidRPr="005929A7" w:rsidRDefault="001C401F" w:rsidP="001C401F">
                      <w:pPr>
                        <w:jc w:val="center"/>
                        <w:rPr>
                          <w:color w:val="83034F"/>
                          <w:sz w:val="24"/>
                        </w:rPr>
                      </w:pPr>
                      <w:r w:rsidRPr="005929A7">
                        <w:rPr>
                          <w:color w:val="83034F"/>
                          <w:sz w:val="24"/>
                        </w:rPr>
                        <w:t>dementiaadvice@ageuksheffield.org.uk</w:t>
                      </w:r>
                    </w:p>
                    <w:p w:rsidR="001C401F" w:rsidRDefault="001C401F" w:rsidP="001C401F">
                      <w:pPr>
                        <w:rPr>
                          <w:color w:val="83034F"/>
                        </w:rPr>
                      </w:pPr>
                    </w:p>
                    <w:p w:rsidR="001C401F" w:rsidRDefault="001C401F" w:rsidP="001C401F"/>
                  </w:txbxContent>
                </v:textbox>
              </v:shape>
            </w:pict>
          </mc:Fallback>
        </mc:AlternateContent>
      </w:r>
    </w:p>
    <w:sectPr w:rsidR="00EC0D39" w:rsidRPr="00022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1"/>
    <w:rsid w:val="00022EB3"/>
    <w:rsid w:val="0003370D"/>
    <w:rsid w:val="001247AE"/>
    <w:rsid w:val="001409D2"/>
    <w:rsid w:val="001C401F"/>
    <w:rsid w:val="00253AB9"/>
    <w:rsid w:val="002D23E6"/>
    <w:rsid w:val="00384F7F"/>
    <w:rsid w:val="003907FE"/>
    <w:rsid w:val="00407780"/>
    <w:rsid w:val="004C5062"/>
    <w:rsid w:val="004F3A88"/>
    <w:rsid w:val="004F5835"/>
    <w:rsid w:val="005146E1"/>
    <w:rsid w:val="00531555"/>
    <w:rsid w:val="0058764B"/>
    <w:rsid w:val="005929A7"/>
    <w:rsid w:val="0064794A"/>
    <w:rsid w:val="00672319"/>
    <w:rsid w:val="00677075"/>
    <w:rsid w:val="00774A81"/>
    <w:rsid w:val="00795C78"/>
    <w:rsid w:val="007A2C7C"/>
    <w:rsid w:val="008139C7"/>
    <w:rsid w:val="008A664E"/>
    <w:rsid w:val="008E7C4F"/>
    <w:rsid w:val="008F092A"/>
    <w:rsid w:val="009C2CB8"/>
    <w:rsid w:val="00A104D9"/>
    <w:rsid w:val="00A525D8"/>
    <w:rsid w:val="00AF72CE"/>
    <w:rsid w:val="00BB3F68"/>
    <w:rsid w:val="00C053C9"/>
    <w:rsid w:val="00C564A7"/>
    <w:rsid w:val="00CB7061"/>
    <w:rsid w:val="00CD6AB2"/>
    <w:rsid w:val="00D252C1"/>
    <w:rsid w:val="00D7242A"/>
    <w:rsid w:val="00DA7099"/>
    <w:rsid w:val="00DB6A36"/>
    <w:rsid w:val="00DD23B6"/>
    <w:rsid w:val="00E328B3"/>
    <w:rsid w:val="00E72F43"/>
    <w:rsid w:val="00E91CD0"/>
    <w:rsid w:val="00E969E7"/>
    <w:rsid w:val="00EC0D39"/>
    <w:rsid w:val="00EF2E6E"/>
    <w:rsid w:val="00FD7CB4"/>
    <w:rsid w:val="00FF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E1"/>
    <w:rPr>
      <w:rFonts w:ascii="Tahoma" w:hAnsi="Tahoma" w:cs="Tahoma"/>
      <w:sz w:val="16"/>
      <w:szCs w:val="16"/>
    </w:rPr>
  </w:style>
  <w:style w:type="character" w:styleId="Hyperlink">
    <w:name w:val="Hyperlink"/>
    <w:basedOn w:val="DefaultParagraphFont"/>
    <w:uiPriority w:val="99"/>
    <w:unhideWhenUsed/>
    <w:rsid w:val="00592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E1"/>
    <w:rPr>
      <w:rFonts w:ascii="Tahoma" w:hAnsi="Tahoma" w:cs="Tahoma"/>
      <w:sz w:val="16"/>
      <w:szCs w:val="16"/>
    </w:rPr>
  </w:style>
  <w:style w:type="character" w:styleId="Hyperlink">
    <w:name w:val="Hyperlink"/>
    <w:basedOn w:val="DefaultParagraphFont"/>
    <w:uiPriority w:val="99"/>
    <w:unhideWhenUsed/>
    <w:rsid w:val="00592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kateswaffer.com/2018/09/03/rethinking-dementia-normal-human-responses-2/"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myalzheimersstory.com/2017/11/25/101-potential-causes-of-behaviours-by-people-living-with-dementia-that-institutional-care-staff-may-find-challeng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thelancet.com/action/showPdf?pii=S0140-6736%2810%2961286-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ementiavoices.org.uk/wp-content/uploads/2015/03/DEEP-Guide-Language.pdf" TargetMode="External"/><Relationship Id="rId4" Type="http://schemas.openxmlformats.org/officeDocument/2006/relationships/webSettings" Target="webSettings.xml"/><Relationship Id="rId9" Type="http://schemas.openxmlformats.org/officeDocument/2006/relationships/hyperlink" Target="https://www.alzheimers.org.uk/sites/default/files/2018-09/Positive%20language%20guide_0.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Wilson</dc:creator>
  <cp:lastModifiedBy>Cally Bowman</cp:lastModifiedBy>
  <cp:revision>2</cp:revision>
  <dcterms:created xsi:type="dcterms:W3CDTF">2020-01-17T12:49:00Z</dcterms:created>
  <dcterms:modified xsi:type="dcterms:W3CDTF">2020-01-17T12:49:00Z</dcterms:modified>
</cp:coreProperties>
</file>