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7C834" w14:textId="77777777" w:rsidR="00E0443B" w:rsidRDefault="00E0443B" w:rsidP="00E0443B">
      <w:pPr>
        <w:pStyle w:val="Title"/>
      </w:pPr>
      <w:r>
        <w:rPr>
          <w:noProof/>
          <w:lang w:val="en-US"/>
        </w:rPr>
        <w:drawing>
          <wp:anchor distT="0" distB="0" distL="114300" distR="114300" simplePos="0" relativeHeight="251659264" behindDoc="0" locked="0" layoutInCell="1" allowOverlap="1" wp14:anchorId="03B16C79" wp14:editId="5716EA5A">
            <wp:simplePos x="0" y="0"/>
            <wp:positionH relativeFrom="margin">
              <wp:posOffset>-541020</wp:posOffset>
            </wp:positionH>
            <wp:positionV relativeFrom="margin">
              <wp:posOffset>-716280</wp:posOffset>
            </wp:positionV>
            <wp:extent cx="2179320" cy="7010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9320" cy="701040"/>
                    </a:xfrm>
                    <a:prstGeom prst="rect">
                      <a:avLst/>
                    </a:prstGeom>
                    <a:noFill/>
                    <a:ln>
                      <a:noFill/>
                    </a:ln>
                  </pic:spPr>
                </pic:pic>
              </a:graphicData>
            </a:graphic>
            <wp14:sizeRelH relativeFrom="margin">
              <wp14:pctWidth>0</wp14:pctWidth>
            </wp14:sizeRelH>
            <wp14:sizeRelV relativeFrom="margin">
              <wp14:pctHeight>0</wp14:pctHeight>
            </wp14:sizeRelV>
          </wp:anchor>
        </w:drawing>
      </w:r>
      <w:r>
        <w:t> </w:t>
      </w:r>
    </w:p>
    <w:p w14:paraId="6AA083AE" w14:textId="11D4FEF0" w:rsidR="008C30ED" w:rsidRDefault="00E0443B" w:rsidP="00E0443B">
      <w:pPr>
        <w:pStyle w:val="Title"/>
        <w:jc w:val="center"/>
        <w:rPr>
          <w:lang w:val="en-US"/>
        </w:rPr>
      </w:pPr>
      <w:r>
        <w:rPr>
          <w:noProof/>
        </w:rPr>
        <w:drawing>
          <wp:anchor distT="0" distB="0" distL="114300" distR="114300" simplePos="0" relativeHeight="251658240" behindDoc="0" locked="0" layoutInCell="1" allowOverlap="1" wp14:anchorId="4D271888" wp14:editId="604B8A5F">
            <wp:simplePos x="0" y="0"/>
            <wp:positionH relativeFrom="margin">
              <wp:posOffset>4914900</wp:posOffset>
            </wp:positionH>
            <wp:positionV relativeFrom="topMargin">
              <wp:align>bottom</wp:align>
            </wp:positionV>
            <wp:extent cx="1304925" cy="666750"/>
            <wp:effectExtent l="57150" t="57150" r="47625" b="3810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4925" cy="666750"/>
                    </a:xfrm>
                    <a:prstGeom prst="rect">
                      <a:avLst/>
                    </a:prstGeom>
                    <a:scene3d>
                      <a:camera prst="orthographicFront"/>
                      <a:lightRig rig="threePt" dir="t"/>
                    </a:scene3d>
                    <a:sp3d prstMaterial="dkEdge"/>
                  </pic:spPr>
                </pic:pic>
              </a:graphicData>
            </a:graphic>
            <wp14:sizeRelV relativeFrom="margin">
              <wp14:pctHeight>0</wp14:pctHeight>
            </wp14:sizeRelV>
          </wp:anchor>
        </w:drawing>
      </w:r>
      <w:r>
        <w:rPr>
          <w:lang w:val="en-US"/>
        </w:rPr>
        <w:t>Co</w:t>
      </w:r>
      <w:r w:rsidR="00C64676">
        <w:rPr>
          <w:lang w:val="en-US"/>
        </w:rPr>
        <w:t>ronavirus</w:t>
      </w:r>
      <w:r>
        <w:rPr>
          <w:lang w:val="en-US"/>
        </w:rPr>
        <w:t xml:space="preserve"> Winter Grant Scheme</w:t>
      </w:r>
    </w:p>
    <w:p w14:paraId="3E64FDBC" w14:textId="5AAD7DAC" w:rsidR="00E0443B" w:rsidRDefault="00E0443B" w:rsidP="00E0443B">
      <w:pPr>
        <w:rPr>
          <w:lang w:val="en-US"/>
        </w:rPr>
      </w:pPr>
    </w:p>
    <w:p w14:paraId="7FC89A02" w14:textId="4001AABE" w:rsidR="00760C56" w:rsidRPr="00C11265" w:rsidRDefault="00E0443B" w:rsidP="00492ECA">
      <w:pPr>
        <w:spacing w:after="120"/>
        <w:jc w:val="both"/>
        <w:rPr>
          <w:rFonts w:asciiTheme="majorHAnsi" w:hAnsiTheme="majorHAnsi" w:cstheme="majorHAnsi"/>
          <w:sz w:val="26"/>
          <w:szCs w:val="26"/>
          <w:lang w:val="en-US"/>
        </w:rPr>
      </w:pPr>
      <w:r w:rsidRPr="00C11265">
        <w:rPr>
          <w:rFonts w:asciiTheme="majorHAnsi" w:hAnsiTheme="majorHAnsi" w:cstheme="majorHAnsi"/>
          <w:sz w:val="26"/>
          <w:szCs w:val="26"/>
        </w:rPr>
        <w:t xml:space="preserve">The objective of the COVID Winter Grant Scheme is to provide support to vulnerable households and families with children particularly affected by the pandemic throughout the winter period where alternative sources of assistance may be unavailable. </w:t>
      </w:r>
      <w:r w:rsidRPr="00C11265">
        <w:rPr>
          <w:rFonts w:asciiTheme="majorHAnsi" w:hAnsiTheme="majorHAnsi" w:cstheme="majorHAnsi"/>
          <w:sz w:val="26"/>
          <w:szCs w:val="26"/>
          <w:lang w:val="en-US"/>
        </w:rPr>
        <w:t>The aim is to give vulnerable households</w:t>
      </w:r>
      <w:r w:rsidR="00760C56" w:rsidRPr="00C11265">
        <w:rPr>
          <w:rFonts w:asciiTheme="majorHAnsi" w:hAnsiTheme="majorHAnsi" w:cstheme="majorHAnsi"/>
          <w:sz w:val="26"/>
          <w:szCs w:val="26"/>
          <w:lang w:val="en-US"/>
        </w:rPr>
        <w:t>*</w:t>
      </w:r>
      <w:r w:rsidRPr="00C11265">
        <w:rPr>
          <w:rFonts w:asciiTheme="majorHAnsi" w:hAnsiTheme="majorHAnsi" w:cstheme="majorHAnsi"/>
          <w:sz w:val="26"/>
          <w:szCs w:val="26"/>
          <w:lang w:val="en-US"/>
        </w:rPr>
        <w:t xml:space="preserve"> peace of mind over the Winter months during the pandemic by helping those who need it to </w:t>
      </w:r>
      <w:r w:rsidR="005918D6" w:rsidRPr="00C11265">
        <w:rPr>
          <w:rFonts w:asciiTheme="majorHAnsi" w:hAnsiTheme="majorHAnsi" w:cstheme="majorHAnsi"/>
          <w:sz w:val="26"/>
          <w:szCs w:val="26"/>
          <w:lang w:val="en-US"/>
        </w:rPr>
        <w:t xml:space="preserve">keep warm, </w:t>
      </w:r>
      <w:r w:rsidRPr="00C11265">
        <w:rPr>
          <w:rFonts w:asciiTheme="majorHAnsi" w:hAnsiTheme="majorHAnsi" w:cstheme="majorHAnsi"/>
          <w:sz w:val="26"/>
          <w:szCs w:val="26"/>
          <w:lang w:val="en-US"/>
        </w:rPr>
        <w:t>have food on the table and other essentials.</w:t>
      </w:r>
    </w:p>
    <w:p w14:paraId="5887BBC6" w14:textId="259079A7" w:rsidR="005918D6" w:rsidRPr="00C11265" w:rsidRDefault="00760C56" w:rsidP="00492ECA">
      <w:pPr>
        <w:pStyle w:val="Sectionhead"/>
        <w:autoSpaceDE w:val="0"/>
        <w:autoSpaceDN w:val="0"/>
        <w:adjustRightInd w:val="0"/>
        <w:spacing w:before="100" w:beforeAutospacing="1" w:after="120" w:line="259" w:lineRule="auto"/>
        <w:jc w:val="both"/>
        <w:rPr>
          <w:rFonts w:asciiTheme="majorHAnsi" w:eastAsiaTheme="minorHAnsi" w:hAnsiTheme="majorHAnsi" w:cstheme="majorHAnsi"/>
          <w:b w:val="0"/>
          <w:bCs/>
          <w:sz w:val="26"/>
          <w:szCs w:val="26"/>
        </w:rPr>
      </w:pPr>
      <w:r w:rsidRPr="00C11265">
        <w:rPr>
          <w:rFonts w:asciiTheme="majorHAnsi" w:hAnsiTheme="majorHAnsi" w:cstheme="majorHAnsi"/>
          <w:b w:val="0"/>
          <w:bCs/>
          <w:sz w:val="26"/>
          <w:szCs w:val="26"/>
        </w:rPr>
        <w:t xml:space="preserve">*Vulnerable households for the purposes of this funding </w:t>
      </w:r>
      <w:r w:rsidR="005918D6" w:rsidRPr="00C11265">
        <w:rPr>
          <w:rFonts w:asciiTheme="majorHAnsi" w:hAnsiTheme="majorHAnsi" w:cstheme="majorHAnsi"/>
          <w:b w:val="0"/>
          <w:bCs/>
          <w:sz w:val="26"/>
          <w:szCs w:val="26"/>
        </w:rPr>
        <w:t>are</w:t>
      </w:r>
      <w:r w:rsidRPr="00C11265">
        <w:rPr>
          <w:rFonts w:asciiTheme="majorHAnsi" w:hAnsiTheme="majorHAnsi" w:cstheme="majorHAnsi"/>
          <w:b w:val="0"/>
          <w:bCs/>
          <w:sz w:val="26"/>
          <w:szCs w:val="26"/>
        </w:rPr>
        <w:t xml:space="preserve"> </w:t>
      </w:r>
      <w:r w:rsidR="00A63F9A" w:rsidRPr="00C11265">
        <w:rPr>
          <w:rFonts w:asciiTheme="majorHAnsi" w:hAnsiTheme="majorHAnsi" w:cstheme="majorHAnsi"/>
          <w:b w:val="0"/>
          <w:bCs/>
          <w:sz w:val="26"/>
          <w:szCs w:val="26"/>
        </w:rPr>
        <w:t xml:space="preserve">not </w:t>
      </w:r>
      <w:r w:rsidR="005918D6" w:rsidRPr="00C11265">
        <w:rPr>
          <w:rFonts w:asciiTheme="majorHAnsi" w:hAnsiTheme="majorHAnsi" w:cstheme="majorHAnsi"/>
          <w:b w:val="0"/>
          <w:bCs/>
          <w:sz w:val="26"/>
          <w:szCs w:val="26"/>
        </w:rPr>
        <w:t>limited to</w:t>
      </w:r>
      <w:r w:rsidR="00A63F9A" w:rsidRPr="00C11265">
        <w:rPr>
          <w:rFonts w:asciiTheme="majorHAnsi" w:hAnsiTheme="majorHAnsi" w:cstheme="majorHAnsi"/>
          <w:b w:val="0"/>
          <w:bCs/>
          <w:sz w:val="26"/>
          <w:szCs w:val="26"/>
        </w:rPr>
        <w:t xml:space="preserve"> those households in receipt of benefits</w:t>
      </w:r>
      <w:r w:rsidR="005918D6" w:rsidRPr="00C11265">
        <w:rPr>
          <w:rFonts w:asciiTheme="majorHAnsi" w:hAnsiTheme="majorHAnsi" w:cstheme="majorHAnsi"/>
          <w:b w:val="0"/>
          <w:bCs/>
          <w:sz w:val="26"/>
          <w:szCs w:val="26"/>
        </w:rPr>
        <w:t xml:space="preserve">, many other households are faced with the burden and worry of </w:t>
      </w:r>
      <w:r w:rsidR="005918D6" w:rsidRPr="00C11265">
        <w:rPr>
          <w:rFonts w:asciiTheme="majorHAnsi" w:eastAsiaTheme="minorHAnsi" w:hAnsiTheme="majorHAnsi" w:cstheme="majorHAnsi"/>
          <w:b w:val="0"/>
          <w:bCs/>
          <w:sz w:val="26"/>
          <w:szCs w:val="26"/>
        </w:rPr>
        <w:t xml:space="preserve">paying the next utility bill or affording the next food shop due to the pandemic.  </w:t>
      </w:r>
    </w:p>
    <w:p w14:paraId="1FD27B42" w14:textId="5811904C" w:rsidR="00E0443B" w:rsidRPr="00C11265" w:rsidRDefault="00E0443B" w:rsidP="00492ECA">
      <w:pPr>
        <w:spacing w:after="120"/>
        <w:rPr>
          <w:rFonts w:asciiTheme="majorHAnsi" w:hAnsiTheme="majorHAnsi" w:cstheme="majorHAnsi"/>
          <w:sz w:val="26"/>
          <w:szCs w:val="26"/>
          <w:lang w:val="en-US"/>
        </w:rPr>
      </w:pPr>
      <w:r w:rsidRPr="00C11265">
        <w:rPr>
          <w:rFonts w:asciiTheme="majorHAnsi" w:hAnsiTheme="majorHAnsi" w:cstheme="majorHAnsi"/>
          <w:sz w:val="26"/>
          <w:szCs w:val="26"/>
        </w:rPr>
        <w:t>This funding has been provided by Solihull Council via the Government’s COVID Winter Grant Scheme</w:t>
      </w:r>
    </w:p>
    <w:p w14:paraId="49EA84B1" w14:textId="63EC6E9C" w:rsidR="00E0443B" w:rsidRPr="00C11265" w:rsidRDefault="00E0443B" w:rsidP="00492ECA">
      <w:pPr>
        <w:spacing w:after="120"/>
        <w:rPr>
          <w:rFonts w:asciiTheme="majorHAnsi" w:hAnsiTheme="majorHAnsi" w:cstheme="majorHAnsi"/>
          <w:bCs/>
          <w:sz w:val="26"/>
          <w:szCs w:val="26"/>
          <w:lang w:val="en-US"/>
        </w:rPr>
      </w:pPr>
      <w:r w:rsidRPr="00C11265">
        <w:rPr>
          <w:rFonts w:asciiTheme="majorHAnsi" w:hAnsiTheme="majorHAnsi" w:cstheme="majorHAnsi"/>
          <w:bCs/>
          <w:sz w:val="26"/>
          <w:szCs w:val="26"/>
          <w:lang w:val="en-US"/>
        </w:rPr>
        <w:t xml:space="preserve">Types of support </w:t>
      </w:r>
      <w:proofErr w:type="gramStart"/>
      <w:r w:rsidRPr="00C11265">
        <w:rPr>
          <w:rFonts w:asciiTheme="majorHAnsi" w:hAnsiTheme="majorHAnsi" w:cstheme="majorHAnsi"/>
          <w:bCs/>
          <w:sz w:val="26"/>
          <w:szCs w:val="26"/>
          <w:lang w:val="en-US"/>
        </w:rPr>
        <w:t>available :</w:t>
      </w:r>
      <w:proofErr w:type="gramEnd"/>
    </w:p>
    <w:p w14:paraId="13CA3D40" w14:textId="77777777" w:rsidR="00760C56" w:rsidRPr="00C11265" w:rsidRDefault="00760C56" w:rsidP="00492ECA">
      <w:pPr>
        <w:numPr>
          <w:ilvl w:val="0"/>
          <w:numId w:val="2"/>
        </w:numPr>
        <w:spacing w:after="120"/>
        <w:ind w:hanging="357"/>
        <w:rPr>
          <w:rFonts w:asciiTheme="majorHAnsi" w:hAnsiTheme="majorHAnsi" w:cstheme="majorHAnsi"/>
          <w:sz w:val="26"/>
          <w:szCs w:val="26"/>
        </w:rPr>
      </w:pPr>
      <w:r w:rsidRPr="00C11265">
        <w:rPr>
          <w:rFonts w:asciiTheme="majorHAnsi" w:hAnsiTheme="majorHAnsi" w:cstheme="majorHAnsi"/>
          <w:b/>
          <w:bCs/>
          <w:sz w:val="26"/>
          <w:szCs w:val="26"/>
        </w:rPr>
        <w:t xml:space="preserve">Food, </w:t>
      </w:r>
      <w:proofErr w:type="gramStart"/>
      <w:r w:rsidRPr="00C11265">
        <w:rPr>
          <w:rFonts w:asciiTheme="majorHAnsi" w:hAnsiTheme="majorHAnsi" w:cstheme="majorHAnsi"/>
          <w:b/>
          <w:bCs/>
          <w:sz w:val="26"/>
          <w:szCs w:val="26"/>
        </w:rPr>
        <w:t>fuel</w:t>
      </w:r>
      <w:proofErr w:type="gramEnd"/>
      <w:r w:rsidRPr="00C11265">
        <w:rPr>
          <w:rFonts w:asciiTheme="majorHAnsi" w:hAnsiTheme="majorHAnsi" w:cstheme="majorHAnsi"/>
          <w:b/>
          <w:bCs/>
          <w:sz w:val="26"/>
          <w:szCs w:val="26"/>
        </w:rPr>
        <w:t xml:space="preserve"> and bills</w:t>
      </w:r>
      <w:r w:rsidRPr="00C11265">
        <w:rPr>
          <w:rFonts w:asciiTheme="majorHAnsi" w:hAnsiTheme="majorHAnsi" w:cstheme="majorHAnsi"/>
          <w:sz w:val="26"/>
          <w:szCs w:val="26"/>
        </w:rPr>
        <w:t xml:space="preserve"> – </w:t>
      </w:r>
    </w:p>
    <w:p w14:paraId="3BDCF331" w14:textId="120E7FCC" w:rsidR="00760C56" w:rsidRPr="00C11265" w:rsidRDefault="00760C56" w:rsidP="00492ECA">
      <w:pPr>
        <w:numPr>
          <w:ilvl w:val="1"/>
          <w:numId w:val="2"/>
        </w:numPr>
        <w:spacing w:after="120"/>
        <w:ind w:hanging="357"/>
        <w:rPr>
          <w:rFonts w:asciiTheme="majorHAnsi" w:hAnsiTheme="majorHAnsi" w:cstheme="majorHAnsi"/>
          <w:sz w:val="26"/>
          <w:szCs w:val="26"/>
        </w:rPr>
      </w:pPr>
      <w:r w:rsidRPr="00C11265">
        <w:rPr>
          <w:rFonts w:asciiTheme="majorHAnsi" w:hAnsiTheme="majorHAnsi" w:cstheme="majorHAnsi"/>
          <w:sz w:val="26"/>
          <w:szCs w:val="26"/>
        </w:rPr>
        <w:t xml:space="preserve">support with food vouchers and/or assistance with shopping to ensure vulnerable households have access to hot, nutritious food, </w:t>
      </w:r>
    </w:p>
    <w:p w14:paraId="1C56CFFD" w14:textId="586B955B" w:rsidR="00760C56" w:rsidRPr="00C11265" w:rsidRDefault="00760C56" w:rsidP="00492ECA">
      <w:pPr>
        <w:numPr>
          <w:ilvl w:val="1"/>
          <w:numId w:val="2"/>
        </w:numPr>
        <w:spacing w:after="120"/>
        <w:ind w:hanging="357"/>
        <w:rPr>
          <w:rFonts w:asciiTheme="majorHAnsi" w:hAnsiTheme="majorHAnsi" w:cstheme="majorHAnsi"/>
          <w:sz w:val="26"/>
          <w:szCs w:val="26"/>
        </w:rPr>
      </w:pPr>
      <w:r w:rsidRPr="00C11265">
        <w:rPr>
          <w:rFonts w:asciiTheme="majorHAnsi" w:hAnsiTheme="majorHAnsi" w:cstheme="majorHAnsi"/>
          <w:sz w:val="26"/>
          <w:szCs w:val="26"/>
        </w:rPr>
        <w:t>financial support to reduce fuel debt where it is affecting a vulnerable household</w:t>
      </w:r>
      <w:r w:rsidR="005918D6" w:rsidRPr="00C11265">
        <w:rPr>
          <w:rFonts w:asciiTheme="majorHAnsi" w:hAnsiTheme="majorHAnsi" w:cstheme="majorHAnsi"/>
          <w:sz w:val="26"/>
          <w:szCs w:val="26"/>
        </w:rPr>
        <w:t>’</w:t>
      </w:r>
      <w:r w:rsidRPr="00C11265">
        <w:rPr>
          <w:rFonts w:asciiTheme="majorHAnsi" w:hAnsiTheme="majorHAnsi" w:cstheme="majorHAnsi"/>
          <w:sz w:val="26"/>
          <w:szCs w:val="26"/>
        </w:rPr>
        <w:t xml:space="preserve">s </w:t>
      </w:r>
      <w:r w:rsidR="0019436C" w:rsidRPr="00C11265">
        <w:rPr>
          <w:rFonts w:asciiTheme="majorHAnsi" w:hAnsiTheme="majorHAnsi" w:cstheme="majorHAnsi"/>
          <w:sz w:val="26"/>
          <w:szCs w:val="26"/>
        </w:rPr>
        <w:t>ongoing ability to afford their energy bills,</w:t>
      </w:r>
    </w:p>
    <w:p w14:paraId="6A99832A" w14:textId="67D94BB7" w:rsidR="00760C56" w:rsidRPr="00C11265" w:rsidRDefault="00760C56" w:rsidP="00492ECA">
      <w:pPr>
        <w:numPr>
          <w:ilvl w:val="1"/>
          <w:numId w:val="2"/>
        </w:numPr>
        <w:spacing w:after="120"/>
        <w:ind w:hanging="357"/>
        <w:rPr>
          <w:rFonts w:asciiTheme="majorHAnsi" w:hAnsiTheme="majorHAnsi" w:cstheme="majorHAnsi"/>
          <w:sz w:val="26"/>
          <w:szCs w:val="26"/>
        </w:rPr>
      </w:pPr>
      <w:r w:rsidRPr="00C11265">
        <w:rPr>
          <w:rFonts w:asciiTheme="majorHAnsi" w:hAnsiTheme="majorHAnsi" w:cstheme="majorHAnsi"/>
          <w:sz w:val="26"/>
          <w:szCs w:val="26"/>
        </w:rPr>
        <w:t>financial support for energy and water bills for household purposes</w:t>
      </w:r>
      <w:r w:rsidR="0019436C" w:rsidRPr="00C11265">
        <w:rPr>
          <w:rFonts w:asciiTheme="majorHAnsi" w:hAnsiTheme="majorHAnsi" w:cstheme="majorHAnsi"/>
          <w:sz w:val="26"/>
          <w:szCs w:val="26"/>
        </w:rPr>
        <w:t>, particularly where energy and water costs have increased in vulnerable households due to additional time spent at home by adults and/or children during the pandemic.</w:t>
      </w:r>
    </w:p>
    <w:p w14:paraId="44ED0BA9" w14:textId="77777777" w:rsidR="0019436C" w:rsidRPr="00C11265" w:rsidRDefault="00760C56" w:rsidP="00492ECA">
      <w:pPr>
        <w:pStyle w:val="ListParagraph"/>
        <w:numPr>
          <w:ilvl w:val="0"/>
          <w:numId w:val="2"/>
        </w:numPr>
        <w:spacing w:after="120"/>
        <w:ind w:hanging="357"/>
        <w:contextualSpacing w:val="0"/>
        <w:rPr>
          <w:rFonts w:asciiTheme="majorHAnsi" w:hAnsiTheme="majorHAnsi" w:cstheme="majorHAnsi"/>
          <w:sz w:val="26"/>
          <w:szCs w:val="26"/>
        </w:rPr>
      </w:pPr>
      <w:r w:rsidRPr="00C11265">
        <w:rPr>
          <w:rFonts w:asciiTheme="majorHAnsi" w:hAnsiTheme="majorHAnsi" w:cstheme="majorHAnsi"/>
          <w:b/>
          <w:bCs/>
          <w:sz w:val="26"/>
          <w:szCs w:val="26"/>
        </w:rPr>
        <w:t>Other household essentials –</w:t>
      </w:r>
      <w:r w:rsidRPr="00C11265">
        <w:rPr>
          <w:rFonts w:asciiTheme="majorHAnsi" w:hAnsiTheme="majorHAnsi" w:cstheme="majorHAnsi"/>
          <w:sz w:val="26"/>
          <w:szCs w:val="26"/>
        </w:rPr>
        <w:t xml:space="preserve"> </w:t>
      </w:r>
    </w:p>
    <w:p w14:paraId="38F2C579" w14:textId="79B663C4" w:rsidR="0019436C" w:rsidRPr="00C11265" w:rsidRDefault="0019436C" w:rsidP="00492ECA">
      <w:pPr>
        <w:pStyle w:val="ListParagraph"/>
        <w:numPr>
          <w:ilvl w:val="1"/>
          <w:numId w:val="2"/>
        </w:numPr>
        <w:spacing w:after="120"/>
        <w:ind w:hanging="357"/>
        <w:contextualSpacing w:val="0"/>
        <w:rPr>
          <w:rFonts w:asciiTheme="majorHAnsi" w:hAnsiTheme="majorHAnsi" w:cstheme="majorHAnsi"/>
          <w:sz w:val="26"/>
          <w:szCs w:val="26"/>
        </w:rPr>
      </w:pPr>
      <w:r w:rsidRPr="00C11265">
        <w:rPr>
          <w:rFonts w:asciiTheme="majorHAnsi" w:hAnsiTheme="majorHAnsi" w:cstheme="majorHAnsi"/>
          <w:sz w:val="26"/>
          <w:szCs w:val="26"/>
        </w:rPr>
        <w:t>Boiler (and other central heating) servicing and repairs,</w:t>
      </w:r>
    </w:p>
    <w:p w14:paraId="1AB1D7A9" w14:textId="77777777" w:rsidR="0019436C" w:rsidRPr="00C11265" w:rsidRDefault="0019436C" w:rsidP="00492ECA">
      <w:pPr>
        <w:pStyle w:val="ListParagraph"/>
        <w:numPr>
          <w:ilvl w:val="1"/>
          <w:numId w:val="2"/>
        </w:numPr>
        <w:spacing w:after="120"/>
        <w:ind w:hanging="357"/>
        <w:contextualSpacing w:val="0"/>
        <w:rPr>
          <w:rFonts w:asciiTheme="majorHAnsi" w:hAnsiTheme="majorHAnsi" w:cstheme="majorHAnsi"/>
          <w:sz w:val="26"/>
          <w:szCs w:val="26"/>
        </w:rPr>
      </w:pPr>
      <w:r w:rsidRPr="00C11265">
        <w:rPr>
          <w:rFonts w:asciiTheme="majorHAnsi" w:hAnsiTheme="majorHAnsi" w:cstheme="majorHAnsi"/>
          <w:sz w:val="26"/>
          <w:szCs w:val="26"/>
        </w:rPr>
        <w:t xml:space="preserve">White goods such as cookers, fridges/freezers, </w:t>
      </w:r>
      <w:proofErr w:type="gramStart"/>
      <w:r w:rsidRPr="00C11265">
        <w:rPr>
          <w:rFonts w:asciiTheme="majorHAnsi" w:hAnsiTheme="majorHAnsi" w:cstheme="majorHAnsi"/>
          <w:sz w:val="26"/>
          <w:szCs w:val="26"/>
        </w:rPr>
        <w:t>microwaves</w:t>
      </w:r>
      <w:proofErr w:type="gramEnd"/>
      <w:r w:rsidRPr="00C11265">
        <w:rPr>
          <w:rFonts w:asciiTheme="majorHAnsi" w:hAnsiTheme="majorHAnsi" w:cstheme="majorHAnsi"/>
          <w:sz w:val="26"/>
          <w:szCs w:val="26"/>
        </w:rPr>
        <w:t xml:space="preserve"> and other equipment that would improve a vulnerable household’s ability to keep warm and eat hot, nutritious meals, </w:t>
      </w:r>
    </w:p>
    <w:p w14:paraId="58005CA1" w14:textId="77777777" w:rsidR="0019436C" w:rsidRPr="00C11265" w:rsidRDefault="0019436C" w:rsidP="00492ECA">
      <w:pPr>
        <w:pStyle w:val="ListParagraph"/>
        <w:numPr>
          <w:ilvl w:val="1"/>
          <w:numId w:val="2"/>
        </w:numPr>
        <w:spacing w:after="120"/>
        <w:ind w:hanging="357"/>
        <w:contextualSpacing w:val="0"/>
        <w:rPr>
          <w:rFonts w:asciiTheme="majorHAnsi" w:hAnsiTheme="majorHAnsi" w:cstheme="majorHAnsi"/>
          <w:sz w:val="26"/>
          <w:szCs w:val="26"/>
        </w:rPr>
      </w:pPr>
      <w:r w:rsidRPr="00C11265">
        <w:rPr>
          <w:rFonts w:asciiTheme="majorHAnsi" w:hAnsiTheme="majorHAnsi" w:cstheme="majorHAnsi"/>
          <w:sz w:val="26"/>
          <w:szCs w:val="26"/>
        </w:rPr>
        <w:t>Sanitary products, soap</w:t>
      </w:r>
    </w:p>
    <w:p w14:paraId="61F77DE7" w14:textId="77777777" w:rsidR="0019436C" w:rsidRPr="00C11265" w:rsidRDefault="0019436C" w:rsidP="00492ECA">
      <w:pPr>
        <w:pStyle w:val="ListParagraph"/>
        <w:numPr>
          <w:ilvl w:val="1"/>
          <w:numId w:val="2"/>
        </w:numPr>
        <w:spacing w:after="120"/>
        <w:ind w:hanging="357"/>
        <w:contextualSpacing w:val="0"/>
        <w:rPr>
          <w:rFonts w:asciiTheme="majorHAnsi" w:hAnsiTheme="majorHAnsi" w:cstheme="majorHAnsi"/>
          <w:sz w:val="26"/>
          <w:szCs w:val="26"/>
        </w:rPr>
      </w:pPr>
      <w:r w:rsidRPr="00C11265">
        <w:rPr>
          <w:rFonts w:asciiTheme="majorHAnsi" w:hAnsiTheme="majorHAnsi" w:cstheme="majorHAnsi"/>
          <w:sz w:val="26"/>
          <w:szCs w:val="26"/>
        </w:rPr>
        <w:t>Warm clothing</w:t>
      </w:r>
    </w:p>
    <w:p w14:paraId="7F27F4C8" w14:textId="3AE6A002" w:rsidR="0019436C" w:rsidRPr="00C11265" w:rsidRDefault="0019436C" w:rsidP="00492ECA">
      <w:pPr>
        <w:pStyle w:val="ListParagraph"/>
        <w:numPr>
          <w:ilvl w:val="1"/>
          <w:numId w:val="2"/>
        </w:numPr>
        <w:spacing w:after="120"/>
        <w:ind w:hanging="357"/>
        <w:contextualSpacing w:val="0"/>
        <w:rPr>
          <w:rFonts w:asciiTheme="majorHAnsi" w:hAnsiTheme="majorHAnsi" w:cstheme="majorHAnsi"/>
          <w:sz w:val="26"/>
          <w:szCs w:val="26"/>
        </w:rPr>
      </w:pPr>
      <w:r w:rsidRPr="00C11265">
        <w:rPr>
          <w:rFonts w:asciiTheme="majorHAnsi" w:hAnsiTheme="majorHAnsi" w:cstheme="majorHAnsi"/>
          <w:sz w:val="26"/>
          <w:szCs w:val="26"/>
        </w:rPr>
        <w:t>Quilts and blankets</w:t>
      </w:r>
    </w:p>
    <w:p w14:paraId="3C95303D" w14:textId="439D6DED" w:rsidR="0019436C" w:rsidRPr="00C11265" w:rsidRDefault="0019436C" w:rsidP="00492ECA">
      <w:pPr>
        <w:pStyle w:val="ListParagraph"/>
        <w:numPr>
          <w:ilvl w:val="1"/>
          <w:numId w:val="2"/>
        </w:numPr>
        <w:spacing w:after="120"/>
        <w:ind w:hanging="357"/>
        <w:contextualSpacing w:val="0"/>
        <w:rPr>
          <w:rFonts w:asciiTheme="majorHAnsi" w:hAnsiTheme="majorHAnsi" w:cstheme="majorHAnsi"/>
          <w:sz w:val="26"/>
          <w:szCs w:val="26"/>
        </w:rPr>
      </w:pPr>
      <w:r w:rsidRPr="00C11265">
        <w:rPr>
          <w:rFonts w:asciiTheme="majorHAnsi" w:hAnsiTheme="majorHAnsi" w:cstheme="majorHAnsi"/>
          <w:sz w:val="26"/>
          <w:szCs w:val="26"/>
        </w:rPr>
        <w:lastRenderedPageBreak/>
        <w:t xml:space="preserve">Additional oil-filled radiators </w:t>
      </w:r>
    </w:p>
    <w:p w14:paraId="24EE09C8" w14:textId="3E11DB52" w:rsidR="00492ECA" w:rsidRPr="00C11265" w:rsidRDefault="00492ECA" w:rsidP="00492ECA">
      <w:pPr>
        <w:pStyle w:val="ListParagraph"/>
        <w:numPr>
          <w:ilvl w:val="1"/>
          <w:numId w:val="2"/>
        </w:numPr>
        <w:spacing w:after="120"/>
        <w:ind w:hanging="357"/>
        <w:contextualSpacing w:val="0"/>
        <w:rPr>
          <w:rFonts w:asciiTheme="majorHAnsi" w:hAnsiTheme="majorHAnsi" w:cstheme="majorHAnsi"/>
          <w:sz w:val="26"/>
          <w:szCs w:val="26"/>
        </w:rPr>
      </w:pPr>
      <w:r w:rsidRPr="00C11265">
        <w:rPr>
          <w:rFonts w:asciiTheme="majorHAnsi" w:hAnsiTheme="majorHAnsi" w:cstheme="majorHAnsi"/>
          <w:sz w:val="26"/>
          <w:szCs w:val="26"/>
        </w:rPr>
        <w:t xml:space="preserve">Other essential items may be considered if it can be established that the purchase of the item would have a direct positive impact on the household’s ability to afford or access food, </w:t>
      </w:r>
      <w:proofErr w:type="gramStart"/>
      <w:r w:rsidRPr="00C11265">
        <w:rPr>
          <w:rFonts w:asciiTheme="majorHAnsi" w:hAnsiTheme="majorHAnsi" w:cstheme="majorHAnsi"/>
          <w:sz w:val="26"/>
          <w:szCs w:val="26"/>
        </w:rPr>
        <w:t>energy</w:t>
      </w:r>
      <w:proofErr w:type="gramEnd"/>
      <w:r w:rsidRPr="00C11265">
        <w:rPr>
          <w:rFonts w:asciiTheme="majorHAnsi" w:hAnsiTheme="majorHAnsi" w:cstheme="majorHAnsi"/>
          <w:sz w:val="26"/>
          <w:szCs w:val="26"/>
        </w:rPr>
        <w:t xml:space="preserve"> and water.</w:t>
      </w:r>
    </w:p>
    <w:p w14:paraId="0C862B71" w14:textId="2D0CDDAA" w:rsidR="000D6706" w:rsidRPr="00C11265" w:rsidRDefault="000D6706" w:rsidP="00AF7011">
      <w:pPr>
        <w:spacing w:after="200" w:line="240" w:lineRule="auto"/>
        <w:jc w:val="both"/>
        <w:rPr>
          <w:rFonts w:asciiTheme="majorHAnsi" w:hAnsiTheme="majorHAnsi" w:cstheme="majorHAnsi"/>
          <w:b/>
          <w:bCs/>
          <w:sz w:val="26"/>
          <w:szCs w:val="26"/>
        </w:rPr>
      </w:pPr>
      <w:r w:rsidRPr="00C11265">
        <w:rPr>
          <w:rFonts w:asciiTheme="majorHAnsi" w:hAnsiTheme="majorHAnsi" w:cstheme="majorHAnsi"/>
          <w:b/>
          <w:bCs/>
          <w:sz w:val="26"/>
          <w:szCs w:val="26"/>
        </w:rPr>
        <w:t>General financial hardship support not linked to food, warmth and/or hygiene is excluded from this funding. Housing costs are expressly excluded.</w:t>
      </w:r>
    </w:p>
    <w:p w14:paraId="2178C48B" w14:textId="1B0024C0" w:rsidR="00AF7011" w:rsidRPr="00C11265" w:rsidRDefault="00AF7011" w:rsidP="00AF7011">
      <w:pPr>
        <w:jc w:val="both"/>
        <w:rPr>
          <w:rFonts w:asciiTheme="majorHAnsi" w:hAnsiTheme="majorHAnsi" w:cstheme="majorHAnsi"/>
          <w:sz w:val="26"/>
          <w:szCs w:val="26"/>
          <w:lang w:val="en-US"/>
        </w:rPr>
      </w:pPr>
      <w:r w:rsidRPr="00C11265">
        <w:rPr>
          <w:rFonts w:asciiTheme="majorHAnsi" w:hAnsiTheme="majorHAnsi" w:cstheme="majorHAnsi"/>
          <w:sz w:val="26"/>
          <w:szCs w:val="26"/>
          <w:lang w:val="en-US"/>
        </w:rPr>
        <w:t xml:space="preserve">For the majority of requests Age UK Solihull will arrange to pay for items directly with energy companies/white goods providers, vouchers for high street stores may be provided for food/clothing and in very limited circumstances, cash may be the appropriate method of support.   </w:t>
      </w:r>
    </w:p>
    <w:p w14:paraId="5B8DE048" w14:textId="731F7C38" w:rsidR="00492ECA" w:rsidRPr="00C11265" w:rsidRDefault="000D6706" w:rsidP="00AF7011">
      <w:pPr>
        <w:jc w:val="both"/>
        <w:rPr>
          <w:rFonts w:asciiTheme="majorHAnsi" w:hAnsiTheme="majorHAnsi" w:cstheme="majorHAnsi"/>
          <w:sz w:val="26"/>
          <w:szCs w:val="26"/>
          <w:lang w:val="en-US"/>
        </w:rPr>
      </w:pPr>
      <w:r w:rsidRPr="00C11265">
        <w:rPr>
          <w:rFonts w:asciiTheme="majorHAnsi" w:hAnsiTheme="majorHAnsi" w:cstheme="majorHAnsi"/>
          <w:sz w:val="26"/>
          <w:szCs w:val="26"/>
          <w:lang w:val="en-US"/>
        </w:rPr>
        <w:t>We want to make referring into this scheme as easy as possible</w:t>
      </w:r>
      <w:r w:rsidR="00965C7A" w:rsidRPr="00C11265">
        <w:rPr>
          <w:rFonts w:asciiTheme="majorHAnsi" w:hAnsiTheme="majorHAnsi" w:cstheme="majorHAnsi"/>
          <w:sz w:val="26"/>
          <w:szCs w:val="26"/>
          <w:lang w:val="en-US"/>
        </w:rPr>
        <w:t xml:space="preserve"> and keep the inform</w:t>
      </w:r>
      <w:r w:rsidR="00C64676">
        <w:rPr>
          <w:rFonts w:asciiTheme="majorHAnsi" w:hAnsiTheme="majorHAnsi" w:cstheme="majorHAnsi"/>
          <w:sz w:val="26"/>
          <w:szCs w:val="26"/>
          <w:lang w:val="en-US"/>
        </w:rPr>
        <w:t>ation</w:t>
      </w:r>
      <w:r w:rsidR="00965C7A" w:rsidRPr="00C11265">
        <w:rPr>
          <w:rFonts w:asciiTheme="majorHAnsi" w:hAnsiTheme="majorHAnsi" w:cstheme="majorHAnsi"/>
          <w:sz w:val="26"/>
          <w:szCs w:val="26"/>
          <w:lang w:val="en-US"/>
        </w:rPr>
        <w:t xml:space="preserve"> required to a minimum however, the scheme is subject to audit by Solihull Council.</w:t>
      </w:r>
      <w:r w:rsidR="00AD14A7">
        <w:rPr>
          <w:rFonts w:asciiTheme="majorHAnsi" w:hAnsiTheme="majorHAnsi" w:cstheme="majorHAnsi"/>
          <w:sz w:val="26"/>
          <w:szCs w:val="26"/>
          <w:lang w:val="en-US"/>
        </w:rPr>
        <w:t xml:space="preserve"> </w:t>
      </w:r>
      <w:r w:rsidR="00965C7A" w:rsidRPr="00C11265">
        <w:rPr>
          <w:rFonts w:asciiTheme="majorHAnsi" w:hAnsiTheme="majorHAnsi" w:cstheme="majorHAnsi"/>
          <w:sz w:val="26"/>
          <w:szCs w:val="26"/>
          <w:lang w:val="en-US"/>
        </w:rPr>
        <w:t xml:space="preserve">Households accessing this scheme will be required to give consent to their information being audited by Solihull Council. Any information provided to Solihull Council for audit purpose will strictly relate to the use of the Winter Grant Scheme funding only.  </w:t>
      </w:r>
    </w:p>
    <w:p w14:paraId="29C36467" w14:textId="0CF73FCD" w:rsidR="00965C7A" w:rsidRPr="00C11265" w:rsidRDefault="00965C7A" w:rsidP="00E0443B">
      <w:pPr>
        <w:rPr>
          <w:rFonts w:asciiTheme="majorHAnsi" w:hAnsiTheme="majorHAnsi" w:cstheme="majorHAnsi"/>
          <w:sz w:val="26"/>
          <w:szCs w:val="26"/>
          <w:lang w:val="en-US"/>
        </w:rPr>
      </w:pPr>
      <w:r w:rsidRPr="00C11265">
        <w:rPr>
          <w:rFonts w:asciiTheme="majorHAnsi" w:hAnsiTheme="majorHAnsi" w:cstheme="majorHAnsi"/>
          <w:sz w:val="26"/>
          <w:szCs w:val="26"/>
          <w:lang w:val="en-US"/>
        </w:rPr>
        <w:t>Information required for audit by Solihull Council can include:</w:t>
      </w:r>
    </w:p>
    <w:p w14:paraId="2BD99D26" w14:textId="77777777" w:rsidR="00965C7A" w:rsidRPr="00C11265" w:rsidRDefault="00965C7A" w:rsidP="00965C7A">
      <w:pPr>
        <w:pStyle w:val="ListParagraph"/>
        <w:numPr>
          <w:ilvl w:val="0"/>
          <w:numId w:val="5"/>
        </w:numPr>
        <w:rPr>
          <w:rFonts w:asciiTheme="majorHAnsi" w:hAnsiTheme="majorHAnsi" w:cstheme="majorHAnsi"/>
          <w:sz w:val="26"/>
          <w:szCs w:val="26"/>
        </w:rPr>
      </w:pPr>
      <w:r w:rsidRPr="00C11265">
        <w:rPr>
          <w:rFonts w:asciiTheme="majorHAnsi" w:hAnsiTheme="majorHAnsi" w:cstheme="majorHAnsi"/>
          <w:sz w:val="26"/>
          <w:szCs w:val="26"/>
        </w:rPr>
        <w:t xml:space="preserve">Name </w:t>
      </w:r>
    </w:p>
    <w:p w14:paraId="566E84FC" w14:textId="77777777" w:rsidR="00965C7A" w:rsidRPr="00C11265" w:rsidRDefault="00965C7A" w:rsidP="00965C7A">
      <w:pPr>
        <w:pStyle w:val="ListParagraph"/>
        <w:numPr>
          <w:ilvl w:val="0"/>
          <w:numId w:val="5"/>
        </w:numPr>
        <w:rPr>
          <w:rFonts w:asciiTheme="majorHAnsi" w:hAnsiTheme="majorHAnsi" w:cstheme="majorHAnsi"/>
          <w:sz w:val="26"/>
          <w:szCs w:val="26"/>
        </w:rPr>
      </w:pPr>
      <w:r w:rsidRPr="00C11265">
        <w:rPr>
          <w:rFonts w:asciiTheme="majorHAnsi" w:hAnsiTheme="majorHAnsi" w:cstheme="majorHAnsi"/>
          <w:sz w:val="26"/>
          <w:szCs w:val="26"/>
        </w:rPr>
        <w:t>Address and postcode</w:t>
      </w:r>
    </w:p>
    <w:p w14:paraId="68F08AA4" w14:textId="77777777" w:rsidR="00965C7A" w:rsidRPr="00C11265" w:rsidRDefault="00965C7A" w:rsidP="00965C7A">
      <w:pPr>
        <w:pStyle w:val="ListParagraph"/>
        <w:numPr>
          <w:ilvl w:val="0"/>
          <w:numId w:val="5"/>
        </w:numPr>
        <w:rPr>
          <w:rFonts w:asciiTheme="majorHAnsi" w:hAnsiTheme="majorHAnsi" w:cstheme="majorHAnsi"/>
          <w:sz w:val="26"/>
          <w:szCs w:val="26"/>
        </w:rPr>
      </w:pPr>
      <w:r w:rsidRPr="00C11265">
        <w:rPr>
          <w:rFonts w:asciiTheme="majorHAnsi" w:hAnsiTheme="majorHAnsi" w:cstheme="majorHAnsi"/>
          <w:sz w:val="26"/>
          <w:szCs w:val="26"/>
        </w:rPr>
        <w:t xml:space="preserve">Number of children aged under 18yrs in the </w:t>
      </w:r>
      <w:proofErr w:type="gramStart"/>
      <w:r w:rsidRPr="00C11265">
        <w:rPr>
          <w:rFonts w:asciiTheme="majorHAnsi" w:hAnsiTheme="majorHAnsi" w:cstheme="majorHAnsi"/>
          <w:sz w:val="26"/>
          <w:szCs w:val="26"/>
        </w:rPr>
        <w:t>household</w:t>
      </w:r>
      <w:proofErr w:type="gramEnd"/>
    </w:p>
    <w:p w14:paraId="6F03A046" w14:textId="77777777" w:rsidR="00965C7A" w:rsidRPr="00C11265" w:rsidRDefault="00965C7A" w:rsidP="00965C7A">
      <w:pPr>
        <w:pStyle w:val="ListParagraph"/>
        <w:numPr>
          <w:ilvl w:val="0"/>
          <w:numId w:val="5"/>
        </w:numPr>
        <w:rPr>
          <w:rFonts w:asciiTheme="majorHAnsi" w:hAnsiTheme="majorHAnsi" w:cstheme="majorHAnsi"/>
          <w:sz w:val="26"/>
          <w:szCs w:val="26"/>
        </w:rPr>
      </w:pPr>
      <w:r w:rsidRPr="00C11265">
        <w:rPr>
          <w:rFonts w:asciiTheme="majorHAnsi" w:hAnsiTheme="majorHAnsi" w:cstheme="majorHAnsi"/>
          <w:sz w:val="26"/>
          <w:szCs w:val="26"/>
        </w:rPr>
        <w:t xml:space="preserve">Help and support </w:t>
      </w:r>
      <w:proofErr w:type="gramStart"/>
      <w:r w:rsidRPr="00C11265">
        <w:rPr>
          <w:rFonts w:asciiTheme="majorHAnsi" w:hAnsiTheme="majorHAnsi" w:cstheme="majorHAnsi"/>
          <w:sz w:val="26"/>
          <w:szCs w:val="26"/>
        </w:rPr>
        <w:t>provided</w:t>
      </w:r>
      <w:proofErr w:type="gramEnd"/>
    </w:p>
    <w:p w14:paraId="79289071" w14:textId="77777777" w:rsidR="00965C7A" w:rsidRPr="00C11265" w:rsidRDefault="00965C7A" w:rsidP="00965C7A">
      <w:pPr>
        <w:pStyle w:val="ListParagraph"/>
        <w:numPr>
          <w:ilvl w:val="0"/>
          <w:numId w:val="5"/>
        </w:numPr>
        <w:rPr>
          <w:rFonts w:asciiTheme="majorHAnsi" w:hAnsiTheme="majorHAnsi" w:cstheme="majorHAnsi"/>
          <w:sz w:val="26"/>
          <w:szCs w:val="26"/>
        </w:rPr>
      </w:pPr>
      <w:r w:rsidRPr="00C11265">
        <w:rPr>
          <w:rFonts w:asciiTheme="majorHAnsi" w:hAnsiTheme="majorHAnsi" w:cstheme="majorHAnsi"/>
          <w:sz w:val="26"/>
          <w:szCs w:val="26"/>
        </w:rPr>
        <w:t xml:space="preserve">Value of individual grants made to or payments made on behalf of the </w:t>
      </w:r>
      <w:proofErr w:type="gramStart"/>
      <w:r w:rsidRPr="00C11265">
        <w:rPr>
          <w:rFonts w:asciiTheme="majorHAnsi" w:hAnsiTheme="majorHAnsi" w:cstheme="majorHAnsi"/>
          <w:sz w:val="26"/>
          <w:szCs w:val="26"/>
        </w:rPr>
        <w:t>household</w:t>
      </w:r>
      <w:proofErr w:type="gramEnd"/>
    </w:p>
    <w:p w14:paraId="243A385D" w14:textId="326D5245" w:rsidR="00965C7A" w:rsidRPr="00C11265" w:rsidRDefault="00965C7A" w:rsidP="00965C7A">
      <w:pPr>
        <w:pStyle w:val="ListParagraph"/>
        <w:numPr>
          <w:ilvl w:val="0"/>
          <w:numId w:val="5"/>
        </w:numPr>
        <w:rPr>
          <w:rFonts w:asciiTheme="majorHAnsi" w:hAnsiTheme="majorHAnsi" w:cstheme="majorHAnsi"/>
          <w:sz w:val="26"/>
          <w:szCs w:val="26"/>
        </w:rPr>
      </w:pPr>
      <w:r w:rsidRPr="00C11265">
        <w:rPr>
          <w:rFonts w:asciiTheme="majorHAnsi" w:hAnsiTheme="majorHAnsi" w:cstheme="majorHAnsi"/>
          <w:sz w:val="26"/>
          <w:szCs w:val="26"/>
        </w:rPr>
        <w:t>Household eligibility for the Winter Grant Scheme</w:t>
      </w:r>
    </w:p>
    <w:p w14:paraId="3EC355E9" w14:textId="431512DA" w:rsidR="00965C7A" w:rsidRPr="00AD14A7" w:rsidRDefault="00965C7A" w:rsidP="00E0443B">
      <w:pPr>
        <w:rPr>
          <w:rFonts w:asciiTheme="majorHAnsi" w:hAnsiTheme="majorHAnsi" w:cstheme="majorHAnsi"/>
          <w:sz w:val="26"/>
          <w:szCs w:val="26"/>
        </w:rPr>
      </w:pPr>
      <w:r w:rsidRPr="00C11265">
        <w:rPr>
          <w:rFonts w:asciiTheme="majorHAnsi" w:hAnsiTheme="majorHAnsi" w:cstheme="majorHAnsi"/>
          <w:sz w:val="26"/>
          <w:szCs w:val="26"/>
        </w:rPr>
        <w:t xml:space="preserve">Funding through this scheme </w:t>
      </w:r>
      <w:proofErr w:type="gramStart"/>
      <w:r w:rsidRPr="00C11265">
        <w:rPr>
          <w:rFonts w:asciiTheme="majorHAnsi" w:hAnsiTheme="majorHAnsi" w:cstheme="majorHAnsi"/>
          <w:sz w:val="26"/>
          <w:szCs w:val="26"/>
        </w:rPr>
        <w:t>has to</w:t>
      </w:r>
      <w:proofErr w:type="gramEnd"/>
      <w:r w:rsidRPr="00C11265">
        <w:rPr>
          <w:rFonts w:asciiTheme="majorHAnsi" w:hAnsiTheme="majorHAnsi" w:cstheme="majorHAnsi"/>
          <w:sz w:val="26"/>
          <w:szCs w:val="26"/>
        </w:rPr>
        <w:t xml:space="preserve"> be provided to households by 31 March 2021</w:t>
      </w:r>
      <w:r w:rsidR="00AF7011" w:rsidRPr="00C11265">
        <w:rPr>
          <w:rFonts w:asciiTheme="majorHAnsi" w:hAnsiTheme="majorHAnsi" w:cstheme="majorHAnsi"/>
          <w:sz w:val="26"/>
          <w:szCs w:val="26"/>
        </w:rPr>
        <w:t xml:space="preserve">.  The funding is a fixed amount and will be allocated on a strictly first come first served basis. </w:t>
      </w:r>
    </w:p>
    <w:sectPr w:rsidR="00965C7A" w:rsidRPr="00AD14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78B4"/>
    <w:multiLevelType w:val="hybridMultilevel"/>
    <w:tmpl w:val="DC0C62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B02B1F"/>
    <w:multiLevelType w:val="hybridMultilevel"/>
    <w:tmpl w:val="F0C8E92E"/>
    <w:lvl w:ilvl="0" w:tplc="361096A8">
      <w:start w:val="1"/>
      <w:numFmt w:val="decimal"/>
      <w:lvlText w:val="%1."/>
      <w:lvlJc w:val="left"/>
      <w:pPr>
        <w:tabs>
          <w:tab w:val="num" w:pos="360"/>
        </w:tabs>
        <w:ind w:left="360" w:hanging="360"/>
      </w:pPr>
      <w:rPr>
        <w:rFonts w:ascii="Arial" w:hAnsi="Arial" w:cs="Arial" w:hint="default"/>
        <w:b w:val="0"/>
        <w:bCs/>
        <w:color w:val="auto"/>
        <w:sz w:val="24"/>
        <w:szCs w:val="24"/>
      </w:rPr>
    </w:lvl>
    <w:lvl w:ilvl="1" w:tplc="08090019">
      <w:start w:val="1"/>
      <w:numFmt w:val="lowerLetter"/>
      <w:lvlText w:val="%2."/>
      <w:lvlJc w:val="left"/>
      <w:pPr>
        <w:tabs>
          <w:tab w:val="num" w:pos="1014"/>
        </w:tabs>
        <w:ind w:left="1014" w:hanging="360"/>
      </w:pPr>
    </w:lvl>
    <w:lvl w:ilvl="2" w:tplc="0809001B" w:tentative="1">
      <w:start w:val="1"/>
      <w:numFmt w:val="lowerRoman"/>
      <w:lvlText w:val="%3."/>
      <w:lvlJc w:val="right"/>
      <w:pPr>
        <w:tabs>
          <w:tab w:val="num" w:pos="1734"/>
        </w:tabs>
        <w:ind w:left="1734" w:hanging="180"/>
      </w:pPr>
    </w:lvl>
    <w:lvl w:ilvl="3" w:tplc="0809000F" w:tentative="1">
      <w:start w:val="1"/>
      <w:numFmt w:val="decimal"/>
      <w:lvlText w:val="%4."/>
      <w:lvlJc w:val="left"/>
      <w:pPr>
        <w:tabs>
          <w:tab w:val="num" w:pos="2454"/>
        </w:tabs>
        <w:ind w:left="2454" w:hanging="360"/>
      </w:pPr>
    </w:lvl>
    <w:lvl w:ilvl="4" w:tplc="08090019" w:tentative="1">
      <w:start w:val="1"/>
      <w:numFmt w:val="lowerLetter"/>
      <w:lvlText w:val="%5."/>
      <w:lvlJc w:val="left"/>
      <w:pPr>
        <w:tabs>
          <w:tab w:val="num" w:pos="3174"/>
        </w:tabs>
        <w:ind w:left="3174" w:hanging="360"/>
      </w:pPr>
    </w:lvl>
    <w:lvl w:ilvl="5" w:tplc="0809001B" w:tentative="1">
      <w:start w:val="1"/>
      <w:numFmt w:val="lowerRoman"/>
      <w:lvlText w:val="%6."/>
      <w:lvlJc w:val="right"/>
      <w:pPr>
        <w:tabs>
          <w:tab w:val="num" w:pos="3894"/>
        </w:tabs>
        <w:ind w:left="3894" w:hanging="180"/>
      </w:pPr>
    </w:lvl>
    <w:lvl w:ilvl="6" w:tplc="0809000F" w:tentative="1">
      <w:start w:val="1"/>
      <w:numFmt w:val="decimal"/>
      <w:lvlText w:val="%7."/>
      <w:lvlJc w:val="left"/>
      <w:pPr>
        <w:tabs>
          <w:tab w:val="num" w:pos="4614"/>
        </w:tabs>
        <w:ind w:left="4614" w:hanging="360"/>
      </w:pPr>
    </w:lvl>
    <w:lvl w:ilvl="7" w:tplc="08090019" w:tentative="1">
      <w:start w:val="1"/>
      <w:numFmt w:val="lowerLetter"/>
      <w:lvlText w:val="%8."/>
      <w:lvlJc w:val="left"/>
      <w:pPr>
        <w:tabs>
          <w:tab w:val="num" w:pos="5334"/>
        </w:tabs>
        <w:ind w:left="5334" w:hanging="360"/>
      </w:pPr>
    </w:lvl>
    <w:lvl w:ilvl="8" w:tplc="0809001B" w:tentative="1">
      <w:start w:val="1"/>
      <w:numFmt w:val="lowerRoman"/>
      <w:lvlText w:val="%9."/>
      <w:lvlJc w:val="right"/>
      <w:pPr>
        <w:tabs>
          <w:tab w:val="num" w:pos="6054"/>
        </w:tabs>
        <w:ind w:left="6054" w:hanging="180"/>
      </w:pPr>
    </w:lvl>
  </w:abstractNum>
  <w:abstractNum w:abstractNumId="2" w15:restartNumberingAfterBreak="0">
    <w:nsid w:val="34E45344"/>
    <w:multiLevelType w:val="hybridMultilevel"/>
    <w:tmpl w:val="2D743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02E48EB"/>
    <w:multiLevelType w:val="hybridMultilevel"/>
    <w:tmpl w:val="3E604BE0"/>
    <w:lvl w:ilvl="0" w:tplc="3146B390">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7B5F38"/>
    <w:multiLevelType w:val="hybridMultilevel"/>
    <w:tmpl w:val="805CA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43B"/>
    <w:rsid w:val="000D6706"/>
    <w:rsid w:val="0019436C"/>
    <w:rsid w:val="00492ECA"/>
    <w:rsid w:val="005918D6"/>
    <w:rsid w:val="00760C56"/>
    <w:rsid w:val="008C30ED"/>
    <w:rsid w:val="00965C7A"/>
    <w:rsid w:val="00A63F9A"/>
    <w:rsid w:val="00AD14A7"/>
    <w:rsid w:val="00AF7011"/>
    <w:rsid w:val="00C11265"/>
    <w:rsid w:val="00C64676"/>
    <w:rsid w:val="00E04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CC0BB"/>
  <w15:chartTrackingRefBased/>
  <w15:docId w15:val="{7FB0B60A-06D9-4C21-8A8F-4CF36558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44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443B"/>
    <w:rPr>
      <w:rFonts w:asciiTheme="majorHAnsi" w:eastAsiaTheme="majorEastAsia" w:hAnsiTheme="majorHAnsi" w:cstheme="majorBidi"/>
      <w:spacing w:val="-10"/>
      <w:kern w:val="28"/>
      <w:sz w:val="56"/>
      <w:szCs w:val="56"/>
    </w:rPr>
  </w:style>
  <w:style w:type="paragraph" w:styleId="ListParagraph">
    <w:name w:val="List Paragraph"/>
    <w:aliases w:val="Dot pt,No Spacing1,List Paragraph Char Char Char,Indicator Text,Numbered Para 1,List Paragraph1,F5 List Paragraph,Bullet Points,MAIN CONTENT,Colorful List - Accent 11,List Paragraph2,List Paragraph12,OBC Bullet,List Paragraph11,L"/>
    <w:basedOn w:val="Normal"/>
    <w:link w:val="ListParagraphChar"/>
    <w:uiPriority w:val="34"/>
    <w:qFormat/>
    <w:rsid w:val="00760C56"/>
    <w:pPr>
      <w:ind w:left="720"/>
      <w:contextualSpacing/>
    </w:pPr>
  </w:style>
  <w:style w:type="paragraph" w:customStyle="1" w:styleId="Sectionhead">
    <w:name w:val="Section head"/>
    <w:rsid w:val="005918D6"/>
    <w:pPr>
      <w:tabs>
        <w:tab w:val="left" w:pos="850"/>
      </w:tabs>
      <w:spacing w:before="283" w:after="170" w:line="360" w:lineRule="atLeast"/>
    </w:pPr>
    <w:rPr>
      <w:rFonts w:ascii="Arial" w:eastAsia="Times New Roman" w:hAnsi="Arial" w:cs="Times New Roman"/>
      <w:b/>
      <w:snapToGrid w:val="0"/>
      <w:sz w:val="32"/>
      <w:szCs w:val="20"/>
      <w:lang w:val="en-US"/>
    </w:rPr>
  </w:style>
  <w:style w:type="character" w:customStyle="1" w:styleId="ListParagraphChar">
    <w:name w:val="List Paragraph Char"/>
    <w:aliases w:val="Dot pt Char,No Spacing1 Char,List Paragraph Char Char Char Char,Indicator Text Char,Numbered Para 1 Char,List Paragraph1 Char,F5 List Paragraph Char,Bullet Points Char,MAIN CONTENT Char,Colorful List - Accent 11 Char,OBC Bullet Char"/>
    <w:link w:val="ListParagraph"/>
    <w:uiPriority w:val="34"/>
    <w:qFormat/>
    <w:rsid w:val="000D6706"/>
  </w:style>
  <w:style w:type="character" w:styleId="Hyperlink">
    <w:name w:val="Hyperlink"/>
    <w:basedOn w:val="DefaultParagraphFont"/>
    <w:uiPriority w:val="99"/>
    <w:unhideWhenUsed/>
    <w:rsid w:val="00965C7A"/>
    <w:rPr>
      <w:color w:val="0563C1" w:themeColor="hyperlink"/>
      <w:u w:val="single"/>
    </w:rPr>
  </w:style>
  <w:style w:type="character" w:styleId="UnresolvedMention">
    <w:name w:val="Unresolved Mention"/>
    <w:basedOn w:val="DefaultParagraphFont"/>
    <w:uiPriority w:val="99"/>
    <w:semiHidden/>
    <w:unhideWhenUsed/>
    <w:rsid w:val="00965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Garratt</dc:creator>
  <cp:keywords/>
  <dc:description/>
  <cp:lastModifiedBy>Rebecca Jacob</cp:lastModifiedBy>
  <cp:revision>3</cp:revision>
  <dcterms:created xsi:type="dcterms:W3CDTF">2021-02-01T11:23:00Z</dcterms:created>
  <dcterms:modified xsi:type="dcterms:W3CDTF">2021-02-01T11:33:00Z</dcterms:modified>
</cp:coreProperties>
</file>