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BC7C" w14:textId="3F079A8A" w:rsidR="00624CC8" w:rsidRDefault="00624CC8" w:rsidP="00982A6B">
      <w:pPr>
        <w:spacing w:after="0" w:line="240" w:lineRule="auto"/>
        <w:rPr>
          <w:rFonts w:ascii="FS Me" w:eastAsia="Times New Roman" w:hAnsi="FS Me" w:cs="Times New Roman"/>
          <w:b/>
          <w:bCs/>
          <w:lang w:eastAsia="en-GB"/>
        </w:rPr>
      </w:pPr>
      <w:r>
        <w:rPr>
          <w:noProof/>
        </w:rPr>
        <mc:AlternateContent>
          <mc:Choice Requires="wps">
            <w:drawing>
              <wp:anchor distT="0" distB="0" distL="114300" distR="114300" simplePos="0" relativeHeight="251659264" behindDoc="0" locked="0" layoutInCell="1" allowOverlap="1" wp14:anchorId="75C83EEA" wp14:editId="69C23E8A">
                <wp:simplePos x="0" y="0"/>
                <wp:positionH relativeFrom="column">
                  <wp:posOffset>-87075</wp:posOffset>
                </wp:positionH>
                <wp:positionV relativeFrom="paragraph">
                  <wp:posOffset>62865</wp:posOffset>
                </wp:positionV>
                <wp:extent cx="6337139" cy="1073150"/>
                <wp:effectExtent l="0" t="0" r="698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139" cy="1073150"/>
                        </a:xfrm>
                        <a:prstGeom prst="rect">
                          <a:avLst/>
                        </a:prstGeom>
                        <a:solidFill>
                          <a:srgbClr val="FFFFFF"/>
                        </a:solidFill>
                        <a:ln w="9525">
                          <a:noFill/>
                          <a:miter lim="800000"/>
                          <a:headEnd/>
                          <a:tailEnd/>
                        </a:ln>
                      </wps:spPr>
                      <wps:txbx>
                        <w:txbxContent>
                          <w:p w14:paraId="29DE3B11" w14:textId="44BE1480" w:rsidR="00982A6B" w:rsidRDefault="00982A6B" w:rsidP="00982A6B">
                            <w:pPr>
                              <w:rPr>
                                <w:rFonts w:ascii="FS Me" w:hAnsi="FS Me"/>
                                <w:sz w:val="28"/>
                                <w:szCs w:val="28"/>
                              </w:rPr>
                            </w:pPr>
                            <w:r>
                              <w:rPr>
                                <w:rStyle w:val="Hyperlink"/>
                                <w:rFonts w:ascii="FS Me" w:hAnsi="FS Me"/>
                                <w:b/>
                                <w:sz w:val="40"/>
                                <w:szCs w:val="40"/>
                              </w:rPr>
                              <w:t>Energy Consumers Commission Project Plan 2021-2022 Consultation</w:t>
                            </w:r>
                          </w:p>
                          <w:p w14:paraId="4D8CB34C" w14:textId="05BE4973" w:rsidR="00982A6B" w:rsidRDefault="00982A6B" w:rsidP="00982A6B">
                            <w:pPr>
                              <w:rPr>
                                <w:rFonts w:ascii="FS Me" w:hAnsi="FS Me"/>
                                <w:sz w:val="28"/>
                                <w:szCs w:val="28"/>
                              </w:rPr>
                            </w:pPr>
                            <w:r>
                              <w:rPr>
                                <w:rFonts w:ascii="FS Me" w:hAnsi="FS Me"/>
                                <w:sz w:val="28"/>
                                <w:szCs w:val="28"/>
                              </w:rPr>
                              <w:t>Scottish Government</w:t>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t>March 2021</w:t>
                            </w:r>
                          </w:p>
                          <w:p w14:paraId="29C74653" w14:textId="77777777" w:rsidR="00982A6B" w:rsidRPr="0024321B" w:rsidRDefault="00982A6B" w:rsidP="00982A6B">
                            <w:pPr>
                              <w:rPr>
                                <w:rFonts w:ascii="FS Me" w:hAnsi="FS Me"/>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83EEA" id="_x0000_t202" coordsize="21600,21600" o:spt="202" path="m,l,21600r21600,l21600,xe">
                <v:stroke joinstyle="miter"/>
                <v:path gradientshapeok="t" o:connecttype="rect"/>
              </v:shapetype>
              <v:shape id="Text Box 2" o:spid="_x0000_s1026" type="#_x0000_t202" style="position:absolute;margin-left:-6.85pt;margin-top:4.95pt;width:499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" stroked="f">
                <v:textbox>
                  <w:txbxContent>
                    <w:p w14:paraId="29DE3B11" w14:textId="44BE1480" w:rsidR="00982A6B" w:rsidRDefault="00982A6B" w:rsidP="00982A6B">
                      <w:pPr>
                        <w:rPr>
                          <w:rFonts w:ascii="FS Me" w:hAnsi="FS Me"/>
                          <w:sz w:val="28"/>
                          <w:szCs w:val="28"/>
                        </w:rPr>
                      </w:pPr>
                      <w:r>
                        <w:rPr>
                          <w:rStyle w:val="Hyperlink"/>
                          <w:rFonts w:ascii="FS Me" w:hAnsi="FS Me"/>
                          <w:b/>
                          <w:sz w:val="40"/>
                          <w:szCs w:val="40"/>
                        </w:rPr>
                        <w:t>Energy Consumers Commission Project Plan 2021-2022 Consultation</w:t>
                      </w:r>
                    </w:p>
                    <w:p w14:paraId="4D8CB34C" w14:textId="05BE4973" w:rsidR="00982A6B" w:rsidRDefault="00982A6B" w:rsidP="00982A6B">
                      <w:pPr>
                        <w:rPr>
                          <w:rFonts w:ascii="FS Me" w:hAnsi="FS Me"/>
                          <w:sz w:val="28"/>
                          <w:szCs w:val="28"/>
                        </w:rPr>
                      </w:pPr>
                      <w:r>
                        <w:rPr>
                          <w:rFonts w:ascii="FS Me" w:hAnsi="FS Me"/>
                          <w:sz w:val="28"/>
                          <w:szCs w:val="28"/>
                        </w:rPr>
                        <w:t>Scottish Government</w:t>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t>March 2021</w:t>
                      </w:r>
                    </w:p>
                    <w:p w14:paraId="29C74653" w14:textId="77777777" w:rsidR="00982A6B" w:rsidRPr="0024321B" w:rsidRDefault="00982A6B" w:rsidP="00982A6B">
                      <w:pPr>
                        <w:rPr>
                          <w:rFonts w:ascii="FS Me" w:hAnsi="FS Me"/>
                          <w:sz w:val="28"/>
                          <w:szCs w:val="28"/>
                        </w:rPr>
                      </w:pPr>
                    </w:p>
                  </w:txbxContent>
                </v:textbox>
              </v:shape>
            </w:pict>
          </mc:Fallback>
        </mc:AlternateContent>
      </w:r>
    </w:p>
    <w:p w14:paraId="1CD5871F" w14:textId="771E4E4C" w:rsidR="00624CC8" w:rsidRDefault="00624CC8" w:rsidP="00982A6B">
      <w:pPr>
        <w:spacing w:after="0" w:line="240" w:lineRule="auto"/>
        <w:rPr>
          <w:rFonts w:ascii="FS Me" w:eastAsia="Times New Roman" w:hAnsi="FS Me" w:cs="Times New Roman"/>
          <w:b/>
          <w:bCs/>
          <w:lang w:eastAsia="en-GB"/>
        </w:rPr>
      </w:pPr>
    </w:p>
    <w:p w14:paraId="0695A74A" w14:textId="22FE147F" w:rsidR="00624CC8" w:rsidRDefault="00624CC8" w:rsidP="00982A6B">
      <w:pPr>
        <w:spacing w:after="0" w:line="240" w:lineRule="auto"/>
        <w:rPr>
          <w:rFonts w:ascii="FS Me" w:eastAsia="Times New Roman" w:hAnsi="FS Me" w:cs="Times New Roman"/>
          <w:b/>
          <w:bCs/>
          <w:lang w:eastAsia="en-GB"/>
        </w:rPr>
      </w:pPr>
    </w:p>
    <w:p w14:paraId="3D7765B9" w14:textId="4DA78B87" w:rsidR="00624CC8" w:rsidRDefault="00624CC8" w:rsidP="00982A6B">
      <w:pPr>
        <w:spacing w:after="0" w:line="240" w:lineRule="auto"/>
        <w:rPr>
          <w:rFonts w:ascii="FS Me" w:eastAsia="Times New Roman" w:hAnsi="FS Me" w:cs="Times New Roman"/>
          <w:b/>
          <w:bCs/>
          <w:lang w:eastAsia="en-GB"/>
        </w:rPr>
      </w:pPr>
    </w:p>
    <w:p w14:paraId="3E80997A" w14:textId="0248CAF0" w:rsidR="00624CC8" w:rsidRDefault="00624CC8" w:rsidP="00982A6B">
      <w:pPr>
        <w:spacing w:after="0" w:line="240" w:lineRule="auto"/>
        <w:rPr>
          <w:rFonts w:ascii="FS Me" w:eastAsia="Times New Roman" w:hAnsi="FS Me" w:cs="Times New Roman"/>
          <w:b/>
          <w:bCs/>
          <w:lang w:eastAsia="en-GB"/>
        </w:rPr>
      </w:pPr>
    </w:p>
    <w:p w14:paraId="3DEE61FE" w14:textId="77777777" w:rsidR="00624CC8" w:rsidRDefault="00624CC8" w:rsidP="00982A6B">
      <w:pPr>
        <w:spacing w:after="0" w:line="240" w:lineRule="auto"/>
        <w:rPr>
          <w:rFonts w:ascii="FS Me" w:eastAsia="Times New Roman" w:hAnsi="FS Me" w:cs="Times New Roman"/>
          <w:b/>
          <w:bCs/>
          <w:lang w:eastAsia="en-GB"/>
        </w:rPr>
      </w:pPr>
    </w:p>
    <w:p w14:paraId="30DA2CD3" w14:textId="48EF5039" w:rsidR="00982A6B" w:rsidRDefault="00982A6B" w:rsidP="00982A6B">
      <w:pPr>
        <w:spacing w:after="0" w:line="240" w:lineRule="auto"/>
        <w:rPr>
          <w:rFonts w:ascii="FS Me" w:eastAsia="Times New Roman" w:hAnsi="FS Me" w:cs="Times New Roman"/>
          <w:b/>
          <w:bCs/>
          <w:lang w:eastAsia="en-GB"/>
        </w:rPr>
      </w:pPr>
    </w:p>
    <w:p w14:paraId="1FE572FA" w14:textId="4078933F" w:rsidR="005D5E56" w:rsidRDefault="005D5E56" w:rsidP="00982A6B">
      <w:pPr>
        <w:spacing w:after="0" w:line="240" w:lineRule="auto"/>
        <w:rPr>
          <w:rFonts w:ascii="FS Me" w:eastAsia="Times New Roman" w:hAnsi="FS Me" w:cs="Times New Roman"/>
          <w:b/>
          <w:bCs/>
          <w:lang w:eastAsia="en-GB"/>
        </w:rPr>
      </w:pPr>
    </w:p>
    <w:p w14:paraId="0E8C1088" w14:textId="63B4E89B" w:rsidR="00230CA6" w:rsidRPr="00324A10" w:rsidRDefault="009D6807" w:rsidP="00982A6B">
      <w:pPr>
        <w:pStyle w:val="ListParagraph"/>
        <w:numPr>
          <w:ilvl w:val="0"/>
          <w:numId w:val="5"/>
        </w:numPr>
        <w:spacing w:after="0"/>
        <w:rPr>
          <w:rFonts w:ascii="FS Me" w:hAnsi="FS Me" w:cs="Helvetica"/>
          <w:shd w:val="clear" w:color="auto" w:fill="FFFFFF"/>
        </w:rPr>
      </w:pPr>
      <w:r w:rsidRPr="00324A10">
        <w:rPr>
          <w:rFonts w:ascii="FS Me" w:hAnsi="FS Me" w:cs="Helvetica"/>
          <w:shd w:val="clear" w:color="auto" w:fill="FFFFFF"/>
        </w:rPr>
        <w:t>Do the Energy Consumers Commission's themes remain relevant in 2021/2022?</w:t>
      </w:r>
    </w:p>
    <w:p w14:paraId="25F1C144" w14:textId="77777777" w:rsidR="00624CC8" w:rsidRPr="00324A10" w:rsidRDefault="00624CC8" w:rsidP="00230CA6">
      <w:pPr>
        <w:spacing w:after="0"/>
        <w:rPr>
          <w:rFonts w:ascii="FS Me" w:eastAsia="Times New Roman" w:hAnsi="FS Me" w:cs="Helvetica"/>
          <w:lang w:eastAsia="en-GB"/>
        </w:rPr>
      </w:pPr>
    </w:p>
    <w:p w14:paraId="26A418AF" w14:textId="69B3A694" w:rsidR="00883990" w:rsidRPr="00324A10" w:rsidRDefault="009230EF" w:rsidP="00230CA6">
      <w:pPr>
        <w:spacing w:after="0"/>
        <w:rPr>
          <w:rFonts w:ascii="FS Me" w:eastAsia="Times New Roman" w:hAnsi="FS Me" w:cs="Helvetica"/>
          <w:lang w:eastAsia="en-GB"/>
        </w:rPr>
      </w:pPr>
      <w:r w:rsidRPr="00324A10">
        <w:rPr>
          <w:rFonts w:ascii="FS Me" w:eastAsia="Times New Roman" w:hAnsi="FS Me" w:cs="Helvetica"/>
          <w:lang w:eastAsia="en-GB"/>
        </w:rPr>
        <w:t xml:space="preserve">Yes, Age Scotland agrees that the themes identified by the Energy Consumers Commission are important </w:t>
      </w:r>
      <w:r w:rsidR="00DC1F95" w:rsidRPr="00324A10">
        <w:rPr>
          <w:rFonts w:ascii="FS Me" w:eastAsia="Times New Roman" w:hAnsi="FS Me" w:cs="Helvetica"/>
          <w:lang w:eastAsia="en-GB"/>
        </w:rPr>
        <w:t xml:space="preserve">and remain relevant. </w:t>
      </w:r>
    </w:p>
    <w:p w14:paraId="2C0A615F" w14:textId="77777777" w:rsidR="00C00712" w:rsidRPr="00324A10" w:rsidRDefault="00C00712" w:rsidP="00230CA6">
      <w:pPr>
        <w:spacing w:after="0"/>
        <w:rPr>
          <w:rFonts w:ascii="FS Me" w:eastAsia="Times New Roman" w:hAnsi="FS Me" w:cs="Helvetica"/>
          <w:lang w:eastAsia="en-GB"/>
        </w:rPr>
      </w:pPr>
    </w:p>
    <w:p w14:paraId="121F37AF" w14:textId="77777777" w:rsidR="00822F89" w:rsidRPr="00324A10" w:rsidRDefault="00822F89" w:rsidP="00F33A8C">
      <w:pPr>
        <w:spacing w:after="0"/>
        <w:rPr>
          <w:rFonts w:ascii="FS Me" w:hAnsi="FS Me" w:cs="Helvetica"/>
          <w:shd w:val="clear" w:color="auto" w:fill="FFFFFF"/>
        </w:rPr>
      </w:pPr>
    </w:p>
    <w:p w14:paraId="259C7141" w14:textId="1722DF89" w:rsidR="00D67787" w:rsidRPr="00324A10" w:rsidRDefault="007D1EBA" w:rsidP="00883990">
      <w:pPr>
        <w:pStyle w:val="ListParagraph"/>
        <w:numPr>
          <w:ilvl w:val="0"/>
          <w:numId w:val="5"/>
        </w:num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Are these the correct areas of focus for project work to improve outcomes for consumers in Scotland?</w:t>
      </w:r>
    </w:p>
    <w:p w14:paraId="074DFE64" w14:textId="114352FC" w:rsidR="00DA22AD" w:rsidRPr="00324A10" w:rsidRDefault="00DA22AD" w:rsidP="00DA22AD">
      <w:pPr>
        <w:shd w:val="clear" w:color="auto" w:fill="FFFFFF"/>
        <w:spacing w:after="0" w:line="240" w:lineRule="auto"/>
        <w:rPr>
          <w:rFonts w:ascii="FS Me" w:eastAsia="Times New Roman" w:hAnsi="FS Me" w:cs="Helvetica"/>
          <w:lang w:eastAsia="en-GB"/>
        </w:rPr>
      </w:pPr>
    </w:p>
    <w:p w14:paraId="5ED33FF9" w14:textId="5DFC0B5A" w:rsidR="008E59E9" w:rsidRPr="00324A10" w:rsidRDefault="008E59E9" w:rsidP="00DA22AD">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Yes, it is important that certain aspects within these themes are also taken into consideration.</w:t>
      </w:r>
    </w:p>
    <w:p w14:paraId="294C6891" w14:textId="75C9D7E8" w:rsidR="008E59E9" w:rsidRPr="00324A10" w:rsidRDefault="008E59E9" w:rsidP="00DA22AD">
      <w:pPr>
        <w:shd w:val="clear" w:color="auto" w:fill="FFFFFF"/>
        <w:spacing w:after="0" w:line="240" w:lineRule="auto"/>
        <w:rPr>
          <w:rFonts w:ascii="FS Me" w:eastAsia="Times New Roman" w:hAnsi="FS Me" w:cs="Helvetica"/>
          <w:lang w:eastAsia="en-GB"/>
        </w:rPr>
      </w:pPr>
    </w:p>
    <w:p w14:paraId="5B6CE16E" w14:textId="54EB2FD6" w:rsidR="00EB6CBD" w:rsidRPr="00324A10" w:rsidRDefault="00EB6CBD" w:rsidP="00DA22AD">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Fuel debt:</w:t>
      </w:r>
    </w:p>
    <w:p w14:paraId="05A5C0D0" w14:textId="1F237F15" w:rsidR="00EB6CBD" w:rsidRPr="00324A10" w:rsidRDefault="00EB6CBD" w:rsidP="00EB6CBD">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 xml:space="preserve">For the work on fuel debt, </w:t>
      </w:r>
      <w:r w:rsidR="00690818" w:rsidRPr="00324A10">
        <w:rPr>
          <w:rFonts w:ascii="FS Me" w:eastAsia="Times New Roman" w:hAnsi="FS Me" w:cs="Helvetica"/>
          <w:lang w:eastAsia="en-GB"/>
        </w:rPr>
        <w:t>the c</w:t>
      </w:r>
      <w:r w:rsidRPr="00324A10">
        <w:rPr>
          <w:rFonts w:ascii="FS Me" w:eastAsia="Times New Roman" w:hAnsi="FS Me" w:cs="Helvetica"/>
          <w:lang w:eastAsia="en-GB"/>
        </w:rPr>
        <w:t xml:space="preserve">rossover between consumers in vulnerable circumstances and energy debt should be explored. It is common that older people will avoid going into energy debt through self-disconnection, where they choose not the use the </w:t>
      </w:r>
      <w:proofErr w:type="gramStart"/>
      <w:r w:rsidRPr="00324A10">
        <w:rPr>
          <w:rFonts w:ascii="FS Me" w:eastAsia="Times New Roman" w:hAnsi="FS Me" w:cs="Helvetica"/>
          <w:lang w:eastAsia="en-GB"/>
        </w:rPr>
        <w:t>heating</w:t>
      </w:r>
      <w:proofErr w:type="gramEnd"/>
      <w:r w:rsidRPr="00324A10">
        <w:rPr>
          <w:rFonts w:ascii="FS Me" w:eastAsia="Times New Roman" w:hAnsi="FS Me" w:cs="Helvetica"/>
          <w:lang w:eastAsia="en-GB"/>
        </w:rPr>
        <w:t xml:space="preserve"> they need in order to prevent energy bills getting too high. </w:t>
      </w:r>
      <w:r w:rsidR="00096128" w:rsidRPr="00324A10">
        <w:rPr>
          <w:rFonts w:ascii="FS Me" w:eastAsia="Times New Roman" w:hAnsi="FS Me" w:cs="Helvetica"/>
          <w:lang w:eastAsia="en-GB"/>
        </w:rPr>
        <w:t>These older people are still living in fuel poverty but are</w:t>
      </w:r>
      <w:r w:rsidR="008E5B63" w:rsidRPr="00324A10">
        <w:rPr>
          <w:rFonts w:ascii="FS Me" w:eastAsia="Times New Roman" w:hAnsi="FS Me" w:cs="Helvetica"/>
          <w:lang w:eastAsia="en-GB"/>
        </w:rPr>
        <w:t xml:space="preserve"> putting their health at risk to avoid taking on debt. </w:t>
      </w:r>
      <w:r w:rsidR="00096128" w:rsidRPr="00324A10">
        <w:rPr>
          <w:rFonts w:ascii="FS Me" w:eastAsia="Times New Roman" w:hAnsi="FS Me" w:cs="Helvetica"/>
          <w:lang w:eastAsia="en-GB"/>
        </w:rPr>
        <w:t xml:space="preserve"> </w:t>
      </w:r>
    </w:p>
    <w:p w14:paraId="2FCF186E" w14:textId="36E8F899" w:rsidR="0017404D" w:rsidRPr="00324A10" w:rsidRDefault="0017404D" w:rsidP="00EB6CBD">
      <w:pPr>
        <w:shd w:val="clear" w:color="auto" w:fill="FFFFFF"/>
        <w:spacing w:after="0" w:line="240" w:lineRule="auto"/>
        <w:rPr>
          <w:rFonts w:ascii="FS Me" w:eastAsia="Times New Roman" w:hAnsi="FS Me" w:cs="Helvetica"/>
          <w:lang w:eastAsia="en-GB"/>
        </w:rPr>
      </w:pPr>
    </w:p>
    <w:p w14:paraId="521CFF38" w14:textId="34A0209B" w:rsidR="0017404D" w:rsidRDefault="0017404D" w:rsidP="00DA1E11">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 xml:space="preserve">It will be important to include </w:t>
      </w:r>
      <w:r w:rsidR="00C4647F" w:rsidRPr="00324A10">
        <w:rPr>
          <w:rFonts w:ascii="FS Me" w:eastAsia="Times New Roman" w:hAnsi="FS Me" w:cs="Helvetica"/>
          <w:lang w:eastAsia="en-GB"/>
        </w:rPr>
        <w:t xml:space="preserve">consumers who are </w:t>
      </w:r>
      <w:proofErr w:type="gramStart"/>
      <w:r w:rsidR="00C4647F" w:rsidRPr="00324A10">
        <w:rPr>
          <w:rFonts w:ascii="FS Me" w:eastAsia="Times New Roman" w:hAnsi="FS Me" w:cs="Helvetica"/>
          <w:lang w:eastAsia="en-GB"/>
        </w:rPr>
        <w:t>off-grid</w:t>
      </w:r>
      <w:proofErr w:type="gramEnd"/>
      <w:r w:rsidR="00C4647F" w:rsidRPr="00324A10">
        <w:rPr>
          <w:rFonts w:ascii="FS Me" w:eastAsia="Times New Roman" w:hAnsi="FS Me" w:cs="Helvetica"/>
          <w:lang w:eastAsia="en-GB"/>
        </w:rPr>
        <w:t xml:space="preserve"> </w:t>
      </w:r>
      <w:r w:rsidR="00E5143A" w:rsidRPr="00324A10">
        <w:rPr>
          <w:rFonts w:ascii="FS Me" w:eastAsia="Times New Roman" w:hAnsi="FS Me" w:cs="Helvetica"/>
          <w:lang w:eastAsia="en-GB"/>
        </w:rPr>
        <w:t>within this work on fuel debt.</w:t>
      </w:r>
      <w:r w:rsidRPr="00324A10">
        <w:rPr>
          <w:rFonts w:ascii="FS Me" w:eastAsia="Times New Roman" w:hAnsi="FS Me" w:cs="Helvetica"/>
          <w:lang w:eastAsia="en-GB"/>
        </w:rPr>
        <w:t xml:space="preserve"> Age Scotland’s research into the housing needs of older people in Orkney, which is off the main gas grid, highlighted that 45% of respondents used oil and 25% used solid fuel to heat their homes</w:t>
      </w:r>
      <w:r w:rsidR="005556ED" w:rsidRPr="00324A10">
        <w:rPr>
          <w:rFonts w:ascii="FS Me" w:eastAsia="Times New Roman" w:hAnsi="FS Me" w:cs="Helvetica"/>
          <w:lang w:eastAsia="en-GB"/>
        </w:rPr>
        <w:t>.</w:t>
      </w:r>
      <w:r w:rsidR="005556ED" w:rsidRPr="00324A10">
        <w:rPr>
          <w:rStyle w:val="EndnoteReference"/>
          <w:rFonts w:ascii="FS Me" w:eastAsia="Times New Roman" w:hAnsi="FS Me" w:cs="Helvetica"/>
          <w:lang w:eastAsia="en-GB"/>
        </w:rPr>
        <w:endnoteReference w:id="1"/>
      </w:r>
      <w:r w:rsidRPr="00324A10">
        <w:rPr>
          <w:rFonts w:ascii="FS Me" w:eastAsia="Times New Roman" w:hAnsi="FS Me" w:cs="Helvetica"/>
          <w:lang w:eastAsia="en-GB"/>
        </w:rPr>
        <w:t xml:space="preserve"> The cost of these heating methods will come at a premium. 12% of respondents either “always struggle to pay” or “sometimes struggle to pay” their home energy bills.</w:t>
      </w:r>
      <w:r w:rsidR="006A3C6C" w:rsidRPr="00324A10">
        <w:rPr>
          <w:rStyle w:val="EndnoteReference"/>
          <w:rFonts w:ascii="FS Me" w:eastAsia="Times New Roman" w:hAnsi="FS Me" w:cs="Helvetica"/>
          <w:lang w:eastAsia="en-GB"/>
        </w:rPr>
        <w:endnoteReference w:id="2"/>
      </w:r>
    </w:p>
    <w:p w14:paraId="7E0FAD40" w14:textId="77777777" w:rsidR="00DA1E11" w:rsidRPr="00324A10" w:rsidRDefault="00DA1E11" w:rsidP="00DA1E11">
      <w:pPr>
        <w:shd w:val="clear" w:color="auto" w:fill="FFFFFF"/>
        <w:spacing w:after="0" w:line="240" w:lineRule="auto"/>
        <w:rPr>
          <w:rFonts w:ascii="FS Me" w:eastAsia="Times New Roman" w:hAnsi="FS Me" w:cs="Helvetica"/>
          <w:lang w:eastAsia="en-GB"/>
        </w:rPr>
      </w:pPr>
    </w:p>
    <w:p w14:paraId="61C77EBA" w14:textId="5E0BC0A7" w:rsidR="00D15732" w:rsidRPr="00324A10" w:rsidRDefault="00D15732" w:rsidP="00DA1E11">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Vulnerable consumers</w:t>
      </w:r>
      <w:r w:rsidR="00A4362E" w:rsidRPr="00324A10">
        <w:rPr>
          <w:rFonts w:ascii="FS Me" w:eastAsia="Times New Roman" w:hAnsi="FS Me" w:cs="Helvetica"/>
          <w:lang w:eastAsia="en-GB"/>
        </w:rPr>
        <w:t>:</w:t>
      </w:r>
      <w:r w:rsidRPr="00324A10">
        <w:rPr>
          <w:rFonts w:ascii="FS Me" w:eastAsia="Times New Roman" w:hAnsi="FS Me" w:cs="Helvetica"/>
          <w:lang w:eastAsia="en-GB"/>
        </w:rPr>
        <w:t xml:space="preserve"> </w:t>
      </w:r>
    </w:p>
    <w:p w14:paraId="7C071E6F" w14:textId="64958FD1" w:rsidR="00A4362E" w:rsidRPr="00324A10" w:rsidRDefault="00680C5C" w:rsidP="00DA22AD">
      <w:pPr>
        <w:shd w:val="clear" w:color="auto" w:fill="FFFFFF"/>
        <w:spacing w:after="0" w:line="240" w:lineRule="auto"/>
        <w:rPr>
          <w:rFonts w:ascii="FS Me" w:hAnsi="FS Me" w:cs="Helvetica"/>
          <w:shd w:val="clear" w:color="auto" w:fill="FFFFFF"/>
        </w:rPr>
      </w:pPr>
      <w:r w:rsidRPr="00324A10">
        <w:rPr>
          <w:rFonts w:ascii="FS Me" w:hAnsi="FS Me" w:cs="Helvetica"/>
          <w:shd w:val="clear" w:color="auto" w:fill="FFFFFF"/>
        </w:rPr>
        <w:t xml:space="preserve">The work on understanding the relatively low uptake of the Priority Services Register </w:t>
      </w:r>
      <w:r w:rsidR="001F7661" w:rsidRPr="00324A10">
        <w:rPr>
          <w:rFonts w:ascii="FS Me" w:hAnsi="FS Me" w:cs="Helvetica"/>
          <w:shd w:val="clear" w:color="auto" w:fill="FFFFFF"/>
        </w:rPr>
        <w:t xml:space="preserve">(PSR) </w:t>
      </w:r>
      <w:r w:rsidRPr="00324A10">
        <w:rPr>
          <w:rFonts w:ascii="FS Me" w:hAnsi="FS Me" w:cs="Helvetica"/>
          <w:shd w:val="clear" w:color="auto" w:fill="FFFFFF"/>
        </w:rPr>
        <w:t xml:space="preserve">among vulnerable consumers will certainly be worthwhile. </w:t>
      </w:r>
      <w:r w:rsidR="00B067DB" w:rsidRPr="00324A10">
        <w:rPr>
          <w:rFonts w:ascii="FS Me" w:hAnsi="FS Me" w:cs="Helvetica"/>
          <w:shd w:val="clear" w:color="auto" w:fill="FFFFFF"/>
        </w:rPr>
        <w:t>While Age Scotland has not engaged</w:t>
      </w:r>
      <w:r w:rsidR="00FB66EB">
        <w:rPr>
          <w:rFonts w:ascii="FS Me" w:hAnsi="FS Me" w:cs="Helvetica"/>
          <w:shd w:val="clear" w:color="auto" w:fill="FFFFFF"/>
        </w:rPr>
        <w:t xml:space="preserve"> in research</w:t>
      </w:r>
      <w:r w:rsidR="00B067DB" w:rsidRPr="00324A10">
        <w:rPr>
          <w:rFonts w:ascii="FS Me" w:hAnsi="FS Me" w:cs="Helvetica"/>
          <w:shd w:val="clear" w:color="auto" w:fill="FFFFFF"/>
        </w:rPr>
        <w:t xml:space="preserve"> with older people on their opinion of PSRs, it does seem probable that </w:t>
      </w:r>
      <w:r w:rsidR="00C47419" w:rsidRPr="00324A10">
        <w:rPr>
          <w:rFonts w:ascii="FS Me" w:hAnsi="FS Me" w:cs="Helvetica"/>
          <w:shd w:val="clear" w:color="auto" w:fill="FFFFFF"/>
        </w:rPr>
        <w:t xml:space="preserve">awareness about PSRs </w:t>
      </w:r>
      <w:proofErr w:type="gramStart"/>
      <w:r w:rsidR="00C47419" w:rsidRPr="00324A10">
        <w:rPr>
          <w:rFonts w:ascii="FS Me" w:hAnsi="FS Me" w:cs="Helvetica"/>
          <w:shd w:val="clear" w:color="auto" w:fill="FFFFFF"/>
        </w:rPr>
        <w:t>are</w:t>
      </w:r>
      <w:proofErr w:type="gramEnd"/>
      <w:r w:rsidR="00C47419" w:rsidRPr="00324A10">
        <w:rPr>
          <w:rFonts w:ascii="FS Me" w:hAnsi="FS Me" w:cs="Helvetica"/>
          <w:shd w:val="clear" w:color="auto" w:fill="FFFFFF"/>
        </w:rPr>
        <w:t xml:space="preserve"> generally not very high.</w:t>
      </w:r>
      <w:r w:rsidRPr="00324A10">
        <w:rPr>
          <w:rFonts w:ascii="FS Me" w:hAnsi="FS Me" w:cs="Helvetica"/>
          <w:shd w:val="clear" w:color="auto" w:fill="FFFFFF"/>
        </w:rPr>
        <w:t xml:space="preserve"> </w:t>
      </w:r>
      <w:r w:rsidR="00B971E0" w:rsidRPr="00324A10">
        <w:rPr>
          <w:rFonts w:ascii="FS Me" w:hAnsi="FS Me" w:cs="Helvetica"/>
          <w:shd w:val="clear" w:color="auto" w:fill="FFFFFF"/>
        </w:rPr>
        <w:t>It is likely that direct advertising about the PSR from energy companies to consumers would be necessary to raise awareness of this service</w:t>
      </w:r>
      <w:r w:rsidR="00FB66EB">
        <w:rPr>
          <w:rFonts w:ascii="FS Me" w:hAnsi="FS Me" w:cs="Helvetica"/>
          <w:shd w:val="clear" w:color="auto" w:fill="FFFFFF"/>
        </w:rPr>
        <w:t>,</w:t>
      </w:r>
      <w:r w:rsidR="00995E6B" w:rsidRPr="00324A10">
        <w:rPr>
          <w:rFonts w:ascii="FS Me" w:hAnsi="FS Me" w:cs="Helvetica"/>
          <w:shd w:val="clear" w:color="auto" w:fill="FFFFFF"/>
        </w:rPr>
        <w:t xml:space="preserve"> and </w:t>
      </w:r>
      <w:r w:rsidR="00FB66EB">
        <w:rPr>
          <w:rFonts w:ascii="FS Me" w:hAnsi="FS Me" w:cs="Helvetica"/>
          <w:shd w:val="clear" w:color="auto" w:fill="FFFFFF"/>
        </w:rPr>
        <w:t xml:space="preserve">that </w:t>
      </w:r>
      <w:r w:rsidR="00560A66" w:rsidRPr="00324A10">
        <w:rPr>
          <w:rFonts w:ascii="FS Me" w:hAnsi="FS Me" w:cs="Helvetica"/>
          <w:shd w:val="clear" w:color="auto" w:fill="FFFFFF"/>
        </w:rPr>
        <w:t xml:space="preserve">non-digital means of self-referral should also be advertised. </w:t>
      </w:r>
      <w:r w:rsidR="00FB66EB" w:rsidRPr="00324A10">
        <w:rPr>
          <w:rFonts w:ascii="FS Me" w:eastAsia="Times New Roman" w:hAnsi="FS Me" w:cs="Helvetica"/>
          <w:lang w:eastAsia="en-GB"/>
        </w:rPr>
        <w:t>Th</w:t>
      </w:r>
      <w:r w:rsidR="00C814E5">
        <w:rPr>
          <w:rFonts w:ascii="FS Me" w:eastAsia="Times New Roman" w:hAnsi="FS Me" w:cs="Helvetica"/>
          <w:lang w:eastAsia="en-GB"/>
        </w:rPr>
        <w:t>is is necessary as there</w:t>
      </w:r>
      <w:r w:rsidR="00FB66EB" w:rsidRPr="00324A10">
        <w:rPr>
          <w:rFonts w:ascii="FS Me" w:eastAsia="Times New Roman" w:hAnsi="FS Me" w:cs="Helvetica"/>
          <w:lang w:eastAsia="en-GB"/>
        </w:rPr>
        <w:t xml:space="preserve"> are </w:t>
      </w:r>
      <w:r w:rsidR="00FB66EB" w:rsidRPr="00324A10">
        <w:rPr>
          <w:rFonts w:ascii="FS Me" w:hAnsi="FS Me"/>
        </w:rPr>
        <w:t>around 500,000 people over the age of 60 in Scotland who do not use the internet.</w:t>
      </w:r>
      <w:r w:rsidR="00FB66EB" w:rsidRPr="00324A10">
        <w:rPr>
          <w:rStyle w:val="EndnoteReference"/>
          <w:rFonts w:ascii="FS Me" w:hAnsi="FS Me"/>
        </w:rPr>
        <w:endnoteReference w:id="3"/>
      </w:r>
    </w:p>
    <w:p w14:paraId="02CD1128" w14:textId="1017D3D9" w:rsidR="002E6AC8" w:rsidRPr="00324A10" w:rsidRDefault="002E6AC8" w:rsidP="00DA22AD">
      <w:pPr>
        <w:shd w:val="clear" w:color="auto" w:fill="FFFFFF"/>
        <w:spacing w:after="0" w:line="240" w:lineRule="auto"/>
        <w:rPr>
          <w:rFonts w:ascii="FS Me" w:hAnsi="FS Me" w:cs="Helvetica"/>
          <w:shd w:val="clear" w:color="auto" w:fill="FFFFFF"/>
        </w:rPr>
      </w:pPr>
    </w:p>
    <w:p w14:paraId="4A75B189" w14:textId="77777777" w:rsidR="00893DC6" w:rsidRPr="00324A10" w:rsidRDefault="00DC7AD9" w:rsidP="00DA22AD">
      <w:pPr>
        <w:shd w:val="clear" w:color="auto" w:fill="FFFFFF"/>
        <w:spacing w:after="0" w:line="240" w:lineRule="auto"/>
        <w:rPr>
          <w:rFonts w:ascii="FS Me" w:hAnsi="FS Me" w:cs="Helvetica"/>
          <w:shd w:val="clear" w:color="auto" w:fill="FFFFFF"/>
        </w:rPr>
      </w:pPr>
      <w:r w:rsidRPr="00324A10">
        <w:rPr>
          <w:rFonts w:ascii="FS Me" w:hAnsi="FS Me" w:cs="Helvetica"/>
          <w:shd w:val="clear" w:color="auto" w:fill="FFFFFF"/>
        </w:rPr>
        <w:t>Restricted and DTS meters</w:t>
      </w:r>
      <w:r w:rsidR="00893DC6" w:rsidRPr="00324A10">
        <w:rPr>
          <w:rFonts w:ascii="FS Me" w:hAnsi="FS Me" w:cs="Helvetica"/>
          <w:shd w:val="clear" w:color="auto" w:fill="FFFFFF"/>
        </w:rPr>
        <w:t>:</w:t>
      </w:r>
      <w:r w:rsidRPr="00324A10">
        <w:rPr>
          <w:rFonts w:ascii="FS Me" w:hAnsi="FS Me" w:cs="Helvetica"/>
          <w:shd w:val="clear" w:color="auto" w:fill="FFFFFF"/>
        </w:rPr>
        <w:t xml:space="preserve"> </w:t>
      </w:r>
    </w:p>
    <w:p w14:paraId="529195EC" w14:textId="551DF51C" w:rsidR="00893DC6" w:rsidRPr="00324A10" w:rsidRDefault="00893DC6" w:rsidP="00DA22AD">
      <w:pPr>
        <w:shd w:val="clear" w:color="auto" w:fill="FFFFFF"/>
        <w:spacing w:after="0" w:line="240" w:lineRule="auto"/>
        <w:rPr>
          <w:rFonts w:ascii="FS Me" w:hAnsi="FS Me" w:cs="Helvetica"/>
          <w:shd w:val="clear" w:color="auto" w:fill="FFFFFF"/>
        </w:rPr>
      </w:pPr>
      <w:r w:rsidRPr="00324A10">
        <w:rPr>
          <w:rFonts w:ascii="FS Me" w:hAnsi="FS Me" w:cs="Helvetica"/>
          <w:shd w:val="clear" w:color="auto" w:fill="FFFFFF"/>
        </w:rPr>
        <w:t xml:space="preserve">In its work on restricted meters, Age Scotland would hope that prepayment meters and the difficulties that older people have faced in being able to top up their credit would be explored. It is essential that consumers are not placed in the same precarious situation where they have no way of physically topping up their prepayment meter, as was seen during the first lockdown in the pandemic. </w:t>
      </w:r>
      <w:r w:rsidR="00A63966" w:rsidRPr="00324A10">
        <w:rPr>
          <w:rFonts w:ascii="FS Me" w:hAnsi="FS Me" w:cs="Helvetica"/>
          <w:shd w:val="clear" w:color="auto" w:fill="FFFFFF"/>
        </w:rPr>
        <w:t xml:space="preserve">While Ofgem did get energy companies to agree to measures to help consumers in this situation, it </w:t>
      </w:r>
      <w:r w:rsidR="00D705D2" w:rsidRPr="00324A10">
        <w:rPr>
          <w:rFonts w:ascii="FS Me" w:hAnsi="FS Me" w:cs="Helvetica"/>
          <w:shd w:val="clear" w:color="auto" w:fill="FFFFFF"/>
        </w:rPr>
        <w:t xml:space="preserve">is important to find out from older </w:t>
      </w:r>
      <w:r w:rsidR="00D705D2" w:rsidRPr="00324A10">
        <w:rPr>
          <w:rFonts w:ascii="FS Me" w:hAnsi="FS Me" w:cs="Helvetica"/>
          <w:shd w:val="clear" w:color="auto" w:fill="FFFFFF"/>
        </w:rPr>
        <w:lastRenderedPageBreak/>
        <w:t xml:space="preserve">consumers themselves how this worked for them and </w:t>
      </w:r>
      <w:r w:rsidR="00A22400" w:rsidRPr="00324A10">
        <w:rPr>
          <w:rFonts w:ascii="FS Me" w:hAnsi="FS Me" w:cs="Helvetica"/>
          <w:shd w:val="clear" w:color="auto" w:fill="FFFFFF"/>
        </w:rPr>
        <w:t xml:space="preserve">whether further measures are required from energy companies to protect these consumers. </w:t>
      </w:r>
    </w:p>
    <w:p w14:paraId="3267525F" w14:textId="77777777" w:rsidR="00893DC6" w:rsidRPr="00324A10" w:rsidRDefault="00893DC6" w:rsidP="00DA22AD">
      <w:pPr>
        <w:shd w:val="clear" w:color="auto" w:fill="FFFFFF"/>
        <w:spacing w:after="0" w:line="240" w:lineRule="auto"/>
        <w:rPr>
          <w:rFonts w:ascii="FS Me" w:hAnsi="FS Me" w:cs="Helvetica"/>
          <w:shd w:val="clear" w:color="auto" w:fill="FFFFFF"/>
        </w:rPr>
      </w:pPr>
    </w:p>
    <w:p w14:paraId="17418B93" w14:textId="77777777" w:rsidR="00D15732" w:rsidRPr="00324A10" w:rsidRDefault="00D15732" w:rsidP="00DA22AD">
      <w:pPr>
        <w:shd w:val="clear" w:color="auto" w:fill="FFFFFF"/>
        <w:spacing w:after="0" w:line="240" w:lineRule="auto"/>
        <w:rPr>
          <w:rFonts w:ascii="FS Me" w:eastAsia="Times New Roman" w:hAnsi="FS Me" w:cs="Helvetica"/>
          <w:lang w:eastAsia="en-GB"/>
        </w:rPr>
      </w:pPr>
    </w:p>
    <w:p w14:paraId="53FC02A4" w14:textId="60227983" w:rsidR="007D1EBA" w:rsidRPr="00324A10" w:rsidRDefault="007D1EBA" w:rsidP="00883990">
      <w:pPr>
        <w:pStyle w:val="ListParagraph"/>
        <w:numPr>
          <w:ilvl w:val="0"/>
          <w:numId w:val="5"/>
        </w:num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Are these projects relevant to the ECC's continuing themes of energy debt, engagement with decarbonisation, supplier best practice and support for consumers in vulnerable circumstances?</w:t>
      </w:r>
    </w:p>
    <w:p w14:paraId="35D6FE71" w14:textId="77777777" w:rsidR="00BC32BD" w:rsidRPr="00324A10" w:rsidRDefault="00BC32BD" w:rsidP="00F33A8C">
      <w:pPr>
        <w:shd w:val="clear" w:color="auto" w:fill="FFFFFF"/>
        <w:spacing w:after="0" w:line="240" w:lineRule="auto"/>
        <w:rPr>
          <w:rFonts w:ascii="FS Me" w:eastAsia="Times New Roman" w:hAnsi="FS Me" w:cs="Helvetica"/>
          <w:lang w:eastAsia="en-GB"/>
        </w:rPr>
      </w:pPr>
    </w:p>
    <w:p w14:paraId="6B5D7530" w14:textId="13EC0FCB" w:rsidR="00BD7E62" w:rsidRPr="00324A10" w:rsidRDefault="00BF1985" w:rsidP="00F33A8C">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Yes</w:t>
      </w:r>
      <w:r w:rsidR="00BC32BD" w:rsidRPr="00324A10">
        <w:rPr>
          <w:rFonts w:ascii="FS Me" w:eastAsia="Times New Roman" w:hAnsi="FS Me" w:cs="Helvetica"/>
          <w:lang w:eastAsia="en-GB"/>
        </w:rPr>
        <w:t>,</w:t>
      </w:r>
      <w:r w:rsidRPr="00324A10">
        <w:rPr>
          <w:rFonts w:ascii="FS Me" w:eastAsia="Times New Roman" w:hAnsi="FS Me" w:cs="Helvetica"/>
          <w:lang w:eastAsia="en-GB"/>
        </w:rPr>
        <w:t xml:space="preserve"> these projects are relevant to the themes that the ECC is working within.</w:t>
      </w:r>
    </w:p>
    <w:p w14:paraId="495C2C2C" w14:textId="70177DA1" w:rsidR="00BF1985" w:rsidRPr="00324A10" w:rsidRDefault="00BF1985" w:rsidP="00F33A8C">
      <w:pPr>
        <w:shd w:val="clear" w:color="auto" w:fill="FFFFFF"/>
        <w:spacing w:after="0" w:line="240" w:lineRule="auto"/>
        <w:rPr>
          <w:rFonts w:ascii="FS Me" w:eastAsia="Times New Roman" w:hAnsi="FS Me" w:cs="Helvetica"/>
          <w:lang w:eastAsia="en-GB"/>
        </w:rPr>
      </w:pPr>
    </w:p>
    <w:p w14:paraId="503B8E09" w14:textId="4A84A1AA" w:rsidR="00BF1985" w:rsidRPr="00324A10" w:rsidRDefault="00BF1985" w:rsidP="00F33A8C">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Other issues to consider that are related to the themes and the projects</w:t>
      </w:r>
      <w:r w:rsidR="00BC32BD" w:rsidRPr="00324A10">
        <w:rPr>
          <w:rFonts w:ascii="FS Me" w:eastAsia="Times New Roman" w:hAnsi="FS Me" w:cs="Helvetica"/>
          <w:lang w:eastAsia="en-GB"/>
        </w:rPr>
        <w:t>:</w:t>
      </w:r>
    </w:p>
    <w:p w14:paraId="303494A2" w14:textId="77777777" w:rsidR="00BF1985" w:rsidRPr="00324A10" w:rsidRDefault="00BF1985" w:rsidP="00F33A8C">
      <w:pPr>
        <w:shd w:val="clear" w:color="auto" w:fill="FFFFFF"/>
        <w:spacing w:after="0" w:line="240" w:lineRule="auto"/>
        <w:rPr>
          <w:rFonts w:ascii="FS Me" w:eastAsia="Times New Roman" w:hAnsi="FS Me" w:cs="Helvetica"/>
          <w:lang w:eastAsia="en-GB"/>
        </w:rPr>
      </w:pPr>
    </w:p>
    <w:p w14:paraId="79C4A9A5" w14:textId="77777777" w:rsidR="00C16B3E" w:rsidRPr="00324A10" w:rsidRDefault="00991201" w:rsidP="00F33A8C">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The Energy Consumer</w:t>
      </w:r>
      <w:r w:rsidR="00F73E0D" w:rsidRPr="00324A10">
        <w:rPr>
          <w:rFonts w:ascii="FS Me" w:eastAsia="Times New Roman" w:hAnsi="FS Me" w:cs="Helvetica"/>
          <w:lang w:eastAsia="en-GB"/>
        </w:rPr>
        <w:t>s</w:t>
      </w:r>
      <w:r w:rsidRPr="00324A10">
        <w:rPr>
          <w:rFonts w:ascii="FS Me" w:eastAsia="Times New Roman" w:hAnsi="FS Me" w:cs="Helvetica"/>
          <w:lang w:eastAsia="en-GB"/>
        </w:rPr>
        <w:t xml:space="preserve"> Commission should </w:t>
      </w:r>
      <w:r w:rsidR="00B7011A" w:rsidRPr="00324A10">
        <w:rPr>
          <w:rFonts w:ascii="FS Me" w:eastAsia="Times New Roman" w:hAnsi="FS Me" w:cs="Helvetica"/>
          <w:lang w:eastAsia="en-GB"/>
        </w:rPr>
        <w:t xml:space="preserve">undertake </w:t>
      </w:r>
      <w:r w:rsidRPr="00324A10">
        <w:rPr>
          <w:rFonts w:ascii="FS Me" w:eastAsia="Times New Roman" w:hAnsi="FS Me" w:cs="Helvetica"/>
          <w:lang w:eastAsia="en-GB"/>
        </w:rPr>
        <w:t>research into</w:t>
      </w:r>
      <w:r w:rsidR="00923D3D" w:rsidRPr="00324A10">
        <w:rPr>
          <w:rFonts w:ascii="FS Me" w:eastAsia="Times New Roman" w:hAnsi="FS Me" w:cs="Helvetica"/>
          <w:lang w:eastAsia="en-GB"/>
        </w:rPr>
        <w:t xml:space="preserve"> </w:t>
      </w:r>
      <w:r w:rsidRPr="00324A10">
        <w:rPr>
          <w:rFonts w:ascii="FS Me" w:eastAsia="Times New Roman" w:hAnsi="FS Me" w:cs="Helvetica"/>
          <w:lang w:eastAsia="en-GB"/>
        </w:rPr>
        <w:t>older people</w:t>
      </w:r>
      <w:r w:rsidR="00B7011A" w:rsidRPr="00324A10">
        <w:rPr>
          <w:rFonts w:ascii="FS Me" w:eastAsia="Times New Roman" w:hAnsi="FS Me" w:cs="Helvetica"/>
          <w:lang w:eastAsia="en-GB"/>
        </w:rPr>
        <w:t>’s</w:t>
      </w:r>
      <w:r w:rsidRPr="00324A10">
        <w:rPr>
          <w:rFonts w:ascii="FS Me" w:eastAsia="Times New Roman" w:hAnsi="FS Me" w:cs="Helvetica"/>
          <w:lang w:eastAsia="en-GB"/>
        </w:rPr>
        <w:t xml:space="preserve"> engage</w:t>
      </w:r>
      <w:r w:rsidR="00B7011A" w:rsidRPr="00324A10">
        <w:rPr>
          <w:rFonts w:ascii="FS Me" w:eastAsia="Times New Roman" w:hAnsi="FS Me" w:cs="Helvetica"/>
          <w:lang w:eastAsia="en-GB"/>
        </w:rPr>
        <w:t>ment</w:t>
      </w:r>
      <w:r w:rsidRPr="00324A10">
        <w:rPr>
          <w:rFonts w:ascii="FS Me" w:eastAsia="Times New Roman" w:hAnsi="FS Me" w:cs="Helvetica"/>
          <w:lang w:eastAsia="en-GB"/>
        </w:rPr>
        <w:t xml:space="preserve"> with their energy provider</w:t>
      </w:r>
      <w:r w:rsidR="005626DD" w:rsidRPr="00324A10">
        <w:rPr>
          <w:rFonts w:ascii="FS Me" w:eastAsia="Times New Roman" w:hAnsi="FS Me" w:cs="Helvetica"/>
          <w:lang w:eastAsia="en-GB"/>
        </w:rPr>
        <w:t xml:space="preserve"> and whether there are barriers </w:t>
      </w:r>
      <w:r w:rsidR="00537197" w:rsidRPr="00324A10">
        <w:rPr>
          <w:rFonts w:ascii="FS Me" w:eastAsia="Times New Roman" w:hAnsi="FS Me" w:cs="Helvetica"/>
          <w:lang w:eastAsia="en-GB"/>
        </w:rPr>
        <w:t>t</w:t>
      </w:r>
      <w:r w:rsidR="007E3BF7" w:rsidRPr="00324A10">
        <w:rPr>
          <w:rFonts w:ascii="FS Me" w:eastAsia="Times New Roman" w:hAnsi="FS Me" w:cs="Helvetica"/>
          <w:lang w:eastAsia="en-GB"/>
        </w:rPr>
        <w:t>hat are making this difficult</w:t>
      </w:r>
      <w:r w:rsidR="00F73E0D" w:rsidRPr="00324A10">
        <w:rPr>
          <w:rFonts w:ascii="FS Me" w:eastAsia="Times New Roman" w:hAnsi="FS Me" w:cs="Helvetica"/>
          <w:lang w:eastAsia="en-GB"/>
        </w:rPr>
        <w:t xml:space="preserve"> for some</w:t>
      </w:r>
      <w:r w:rsidR="00965619" w:rsidRPr="00324A10">
        <w:rPr>
          <w:rFonts w:ascii="FS Me" w:eastAsia="Times New Roman" w:hAnsi="FS Me" w:cs="Helvetica"/>
          <w:lang w:eastAsia="en-GB"/>
        </w:rPr>
        <w:t xml:space="preserve">. </w:t>
      </w:r>
    </w:p>
    <w:p w14:paraId="748AE072" w14:textId="77777777" w:rsidR="00C16B3E" w:rsidRPr="00324A10" w:rsidRDefault="00C16B3E" w:rsidP="00F33A8C">
      <w:pPr>
        <w:shd w:val="clear" w:color="auto" w:fill="FFFFFF"/>
        <w:spacing w:after="0" w:line="240" w:lineRule="auto"/>
        <w:rPr>
          <w:rFonts w:ascii="FS Me" w:eastAsia="Times New Roman" w:hAnsi="FS Me" w:cs="Helvetica"/>
          <w:lang w:eastAsia="en-GB"/>
        </w:rPr>
      </w:pPr>
    </w:p>
    <w:p w14:paraId="6B13FCBA" w14:textId="498841F5" w:rsidR="00952CB6" w:rsidRPr="00324A10" w:rsidRDefault="00965619" w:rsidP="00F33A8C">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 xml:space="preserve">While this is likely to vary </w:t>
      </w:r>
      <w:proofErr w:type="gramStart"/>
      <w:r w:rsidR="003C36E5" w:rsidRPr="00324A10">
        <w:rPr>
          <w:rFonts w:ascii="FS Me" w:eastAsia="Times New Roman" w:hAnsi="FS Me" w:cs="Helvetica"/>
          <w:lang w:eastAsia="en-GB"/>
        </w:rPr>
        <w:t>with regard to</w:t>
      </w:r>
      <w:proofErr w:type="gramEnd"/>
      <w:r w:rsidRPr="00324A10">
        <w:rPr>
          <w:rFonts w:ascii="FS Me" w:eastAsia="Times New Roman" w:hAnsi="FS Me" w:cs="Helvetica"/>
          <w:lang w:eastAsia="en-GB"/>
        </w:rPr>
        <w:t xml:space="preserve"> age and levels of engagement with digital technology</w:t>
      </w:r>
      <w:r w:rsidR="00F10A13" w:rsidRPr="00324A10">
        <w:rPr>
          <w:rFonts w:ascii="FS Me" w:eastAsia="Times New Roman" w:hAnsi="FS Me" w:cs="Helvetica"/>
          <w:lang w:eastAsia="en-GB"/>
        </w:rPr>
        <w:t>,</w:t>
      </w:r>
      <w:r w:rsidR="00923D3D" w:rsidRPr="00324A10">
        <w:rPr>
          <w:rFonts w:ascii="FS Me" w:eastAsia="Times New Roman" w:hAnsi="FS Me" w:cs="Helvetica"/>
          <w:lang w:eastAsia="en-GB"/>
        </w:rPr>
        <w:t xml:space="preserve"> Age Scotland research would suggest that </w:t>
      </w:r>
      <w:r w:rsidR="001D46E0" w:rsidRPr="00324A10">
        <w:rPr>
          <w:rFonts w:ascii="FS Me" w:eastAsia="Times New Roman" w:hAnsi="FS Me" w:cs="Helvetica"/>
          <w:lang w:eastAsia="en-GB"/>
        </w:rPr>
        <w:t xml:space="preserve">many older people </w:t>
      </w:r>
      <w:r w:rsidR="00F10A13" w:rsidRPr="00324A10">
        <w:rPr>
          <w:rFonts w:ascii="FS Me" w:eastAsia="Times New Roman" w:hAnsi="FS Me" w:cs="Helvetica"/>
          <w:lang w:eastAsia="en-GB"/>
        </w:rPr>
        <w:t xml:space="preserve">appear to be </w:t>
      </w:r>
      <w:r w:rsidR="003E4EEA" w:rsidRPr="00324A10">
        <w:rPr>
          <w:rFonts w:ascii="FS Me" w:eastAsia="Times New Roman" w:hAnsi="FS Me" w:cs="Helvetica"/>
          <w:lang w:eastAsia="en-GB"/>
        </w:rPr>
        <w:t>quite</w:t>
      </w:r>
      <w:r w:rsidR="00F10A13" w:rsidRPr="00324A10">
        <w:rPr>
          <w:rFonts w:ascii="FS Me" w:eastAsia="Times New Roman" w:hAnsi="FS Me" w:cs="Helvetica"/>
          <w:lang w:eastAsia="en-GB"/>
        </w:rPr>
        <w:t xml:space="preserve"> disengaged fro</w:t>
      </w:r>
      <w:r w:rsidR="003E4EEA" w:rsidRPr="00324A10">
        <w:rPr>
          <w:rFonts w:ascii="FS Me" w:eastAsia="Times New Roman" w:hAnsi="FS Me" w:cs="Helvetica"/>
          <w:lang w:eastAsia="en-GB"/>
        </w:rPr>
        <w:t>m managing their energy costs through interactions with their energy provider</w:t>
      </w:r>
      <w:r w:rsidR="008C7978" w:rsidRPr="00324A10">
        <w:rPr>
          <w:rFonts w:ascii="FS Me" w:eastAsia="Times New Roman" w:hAnsi="FS Me" w:cs="Helvetica"/>
          <w:lang w:eastAsia="en-GB"/>
        </w:rPr>
        <w:t xml:space="preserve"> or through switching energy provider</w:t>
      </w:r>
      <w:r w:rsidR="003E4EEA" w:rsidRPr="00324A10">
        <w:rPr>
          <w:rFonts w:ascii="FS Me" w:eastAsia="Times New Roman" w:hAnsi="FS Me" w:cs="Helvetica"/>
          <w:lang w:eastAsia="en-GB"/>
        </w:rPr>
        <w:t>.</w:t>
      </w:r>
      <w:r w:rsidR="001D46E0" w:rsidRPr="00324A10">
        <w:rPr>
          <w:rFonts w:ascii="FS Me" w:eastAsia="Times New Roman" w:hAnsi="FS Me" w:cs="Helvetica"/>
          <w:lang w:eastAsia="en-GB"/>
        </w:rPr>
        <w:t xml:space="preserve"> </w:t>
      </w:r>
      <w:r w:rsidR="00CE7C4C" w:rsidRPr="00324A10">
        <w:rPr>
          <w:rFonts w:ascii="FS Me" w:eastAsia="Times New Roman" w:hAnsi="FS Me" w:cs="Helvetica"/>
          <w:lang w:eastAsia="en-GB"/>
        </w:rPr>
        <w:t>Age Scotland will shortly publish a qualitative research study using focus groups of older people to ask about their housing and home energy experiences during the pandemic</w:t>
      </w:r>
      <w:r w:rsidR="005B03A2" w:rsidRPr="00324A10">
        <w:rPr>
          <w:rFonts w:ascii="FS Me" w:eastAsia="Times New Roman" w:hAnsi="FS Me" w:cs="Helvetica"/>
          <w:lang w:eastAsia="en-GB"/>
        </w:rPr>
        <w:t xml:space="preserve">. </w:t>
      </w:r>
      <w:r w:rsidR="00952CB6" w:rsidRPr="00324A10">
        <w:rPr>
          <w:rFonts w:ascii="FS Me" w:eastAsia="Times New Roman" w:hAnsi="FS Me" w:cs="Helvetica"/>
          <w:lang w:eastAsia="en-GB"/>
        </w:rPr>
        <w:t xml:space="preserve">While some of the respondents had used switching services in the past to get better deals on their energy bills, almost all expressed dismay at the need to switch energy provider </w:t>
      </w:r>
      <w:proofErr w:type="gramStart"/>
      <w:r w:rsidR="00952CB6" w:rsidRPr="00324A10">
        <w:rPr>
          <w:rFonts w:ascii="FS Me" w:eastAsia="Times New Roman" w:hAnsi="FS Me" w:cs="Helvetica"/>
          <w:lang w:eastAsia="en-GB"/>
        </w:rPr>
        <w:t>in order to</w:t>
      </w:r>
      <w:proofErr w:type="gramEnd"/>
      <w:r w:rsidR="00952CB6" w:rsidRPr="00324A10">
        <w:rPr>
          <w:rFonts w:ascii="FS Me" w:eastAsia="Times New Roman" w:hAnsi="FS Me" w:cs="Helvetica"/>
          <w:lang w:eastAsia="en-GB"/>
        </w:rPr>
        <w:t xml:space="preserve"> get better prices. They felt that loyalty should be recognised by energy companies. Of those who had switched before, they did not feel like the reduction in prices amounted to much and that in general it was not worth the effort. </w:t>
      </w:r>
      <w:r w:rsidR="00AE7C63" w:rsidRPr="00324A10">
        <w:rPr>
          <w:rFonts w:ascii="FS Me" w:eastAsia="Times New Roman" w:hAnsi="FS Me" w:cs="Helvetica"/>
          <w:lang w:eastAsia="en-GB"/>
        </w:rPr>
        <w:t xml:space="preserve">This response </w:t>
      </w:r>
      <w:r w:rsidR="006D4EF3" w:rsidRPr="00324A10">
        <w:rPr>
          <w:rFonts w:ascii="FS Me" w:eastAsia="Times New Roman" w:hAnsi="FS Me" w:cs="Helvetica"/>
          <w:lang w:eastAsia="en-GB"/>
        </w:rPr>
        <w:t xml:space="preserve">implied that older people who had made the effort to switch in the past may not feel it is worth doing so again, which could </w:t>
      </w:r>
      <w:r w:rsidR="002B3F03" w:rsidRPr="00324A10">
        <w:rPr>
          <w:rFonts w:ascii="FS Me" w:eastAsia="Times New Roman" w:hAnsi="FS Me" w:cs="Helvetica"/>
          <w:lang w:eastAsia="en-GB"/>
        </w:rPr>
        <w:t xml:space="preserve">leave them on higher </w:t>
      </w:r>
      <w:r w:rsidR="0089138B" w:rsidRPr="00324A10">
        <w:rPr>
          <w:rFonts w:ascii="FS Me" w:eastAsia="Times New Roman" w:hAnsi="FS Me" w:cs="Helvetica"/>
          <w:lang w:eastAsia="en-GB"/>
        </w:rPr>
        <w:t xml:space="preserve">standard variable </w:t>
      </w:r>
      <w:r w:rsidR="002B3F03" w:rsidRPr="00324A10">
        <w:rPr>
          <w:rFonts w:ascii="FS Me" w:eastAsia="Times New Roman" w:hAnsi="FS Me" w:cs="Helvetica"/>
          <w:lang w:eastAsia="en-GB"/>
        </w:rPr>
        <w:t>tariffs</w:t>
      </w:r>
      <w:r w:rsidR="0089138B" w:rsidRPr="00324A10">
        <w:rPr>
          <w:rFonts w:ascii="FS Me" w:eastAsia="Times New Roman" w:hAnsi="FS Me" w:cs="Helvetica"/>
          <w:lang w:eastAsia="en-GB"/>
        </w:rPr>
        <w:t>.</w:t>
      </w:r>
      <w:r w:rsidR="002B19D9" w:rsidRPr="00324A10">
        <w:rPr>
          <w:rStyle w:val="EndnoteReference"/>
          <w:rFonts w:ascii="FS Me" w:eastAsia="Times New Roman" w:hAnsi="FS Me" w:cs="Helvetica"/>
          <w:lang w:eastAsia="en-GB"/>
        </w:rPr>
        <w:endnoteReference w:id="4"/>
      </w:r>
    </w:p>
    <w:p w14:paraId="5DE3AA67" w14:textId="411B5C92" w:rsidR="00952CB6" w:rsidRPr="00324A10" w:rsidRDefault="00952CB6" w:rsidP="00F33A8C">
      <w:pPr>
        <w:shd w:val="clear" w:color="auto" w:fill="FFFFFF"/>
        <w:spacing w:after="0" w:line="240" w:lineRule="auto"/>
        <w:rPr>
          <w:rFonts w:ascii="FS Me" w:eastAsia="Times New Roman" w:hAnsi="FS Me" w:cs="Helvetica"/>
          <w:lang w:eastAsia="en-GB"/>
        </w:rPr>
      </w:pPr>
    </w:p>
    <w:p w14:paraId="12705078" w14:textId="741D51A1" w:rsidR="008C6BD1" w:rsidRPr="00324A10" w:rsidRDefault="000035AC" w:rsidP="00A35CD7">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It is also likely that there is low awar</w:t>
      </w:r>
      <w:r w:rsidR="008C6BD1" w:rsidRPr="00324A10">
        <w:rPr>
          <w:rFonts w:ascii="FS Me" w:eastAsia="Times New Roman" w:hAnsi="FS Me" w:cs="Helvetica"/>
          <w:lang w:eastAsia="en-GB"/>
        </w:rPr>
        <w:t xml:space="preserve">eness among older people of services that could help them by providing advice or support around their energy costs. </w:t>
      </w:r>
      <w:r w:rsidR="00A35CD7" w:rsidRPr="00324A10">
        <w:rPr>
          <w:rFonts w:ascii="FS Me" w:eastAsia="Times New Roman" w:hAnsi="FS Me" w:cs="Helvetica"/>
          <w:lang w:eastAsia="en-GB"/>
        </w:rPr>
        <w:t xml:space="preserve">Age Scotland’s National Housing Survey Report found that </w:t>
      </w:r>
      <w:r w:rsidR="002E4F50" w:rsidRPr="00324A10">
        <w:rPr>
          <w:rFonts w:ascii="FS Me" w:eastAsia="Times New Roman" w:hAnsi="FS Me" w:cs="Helvetica"/>
          <w:lang w:eastAsia="en-GB"/>
        </w:rPr>
        <w:t>o</w:t>
      </w:r>
      <w:r w:rsidR="00FE79E9" w:rsidRPr="00324A10">
        <w:rPr>
          <w:rFonts w:ascii="FS Me" w:eastAsia="Times New Roman" w:hAnsi="FS Me" w:cs="Helvetica"/>
          <w:lang w:eastAsia="en-GB"/>
        </w:rPr>
        <w:t>ver half (55%)</w:t>
      </w:r>
      <w:r w:rsidR="002E4F50" w:rsidRPr="00324A10">
        <w:rPr>
          <w:rFonts w:ascii="FS Me" w:eastAsia="Times New Roman" w:hAnsi="FS Me" w:cs="Helvetica"/>
          <w:lang w:eastAsia="en-GB"/>
        </w:rPr>
        <w:t xml:space="preserve"> of respondents had </w:t>
      </w:r>
      <w:r w:rsidR="00FE79E9" w:rsidRPr="00324A10">
        <w:rPr>
          <w:rFonts w:ascii="FS Me" w:eastAsia="Times New Roman" w:hAnsi="FS Me" w:cs="Helvetica"/>
          <w:lang w:eastAsia="en-GB"/>
        </w:rPr>
        <w:t xml:space="preserve">not </w:t>
      </w:r>
      <w:r w:rsidR="002E4F50" w:rsidRPr="00324A10">
        <w:rPr>
          <w:rFonts w:ascii="FS Me" w:eastAsia="Times New Roman" w:hAnsi="FS Me" w:cs="Helvetica"/>
          <w:lang w:eastAsia="en-GB"/>
        </w:rPr>
        <w:t>heard of</w:t>
      </w:r>
      <w:r w:rsidR="00FE79E9" w:rsidRPr="00324A10">
        <w:rPr>
          <w:rFonts w:ascii="FS Me" w:eastAsia="Times New Roman" w:hAnsi="FS Me" w:cs="Helvetica"/>
          <w:lang w:eastAsia="en-GB"/>
        </w:rPr>
        <w:t xml:space="preserve"> any </w:t>
      </w:r>
      <w:r w:rsidR="009D4F24" w:rsidRPr="00324A10">
        <w:rPr>
          <w:rFonts w:ascii="FS Me" w:eastAsia="Times New Roman" w:hAnsi="FS Me" w:cs="Helvetica"/>
          <w:lang w:eastAsia="en-GB"/>
        </w:rPr>
        <w:t xml:space="preserve">of the </w:t>
      </w:r>
      <w:r w:rsidR="00FE79E9" w:rsidRPr="00324A10">
        <w:rPr>
          <w:rFonts w:ascii="FS Me" w:eastAsia="Times New Roman" w:hAnsi="FS Me" w:cs="Helvetica"/>
          <w:lang w:eastAsia="en-GB"/>
        </w:rPr>
        <w:t>Scottish Government</w:t>
      </w:r>
      <w:r w:rsidR="009D4F24" w:rsidRPr="00324A10">
        <w:rPr>
          <w:rFonts w:ascii="FS Me" w:eastAsia="Times New Roman" w:hAnsi="FS Me" w:cs="Helvetica"/>
          <w:lang w:eastAsia="en-GB"/>
        </w:rPr>
        <w:t xml:space="preserve"> schemes to help with home energy efficiency measures. </w:t>
      </w:r>
      <w:r w:rsidR="004251F9" w:rsidRPr="00324A10">
        <w:rPr>
          <w:rFonts w:ascii="FS Me" w:eastAsia="Times New Roman" w:hAnsi="FS Me" w:cs="Helvetica"/>
          <w:lang w:eastAsia="en-GB"/>
        </w:rPr>
        <w:t>Home Energy Scotland was the most recognised, with 28% of respondents having heard of it.</w:t>
      </w:r>
      <w:r w:rsidR="00C16B3E" w:rsidRPr="00324A10">
        <w:rPr>
          <w:rStyle w:val="EndnoteReference"/>
          <w:rFonts w:ascii="FS Me" w:eastAsia="Times New Roman" w:hAnsi="FS Me" w:cs="Helvetica"/>
          <w:lang w:eastAsia="en-GB"/>
        </w:rPr>
        <w:endnoteReference w:id="5"/>
      </w:r>
    </w:p>
    <w:p w14:paraId="40B724B9" w14:textId="77777777" w:rsidR="00A35CD7" w:rsidRPr="00324A10" w:rsidRDefault="00A35CD7" w:rsidP="00F33A8C">
      <w:pPr>
        <w:shd w:val="clear" w:color="auto" w:fill="FFFFFF"/>
        <w:spacing w:after="0" w:line="240" w:lineRule="auto"/>
        <w:rPr>
          <w:rFonts w:ascii="FS Me" w:eastAsia="Times New Roman" w:hAnsi="FS Me" w:cs="Helvetica"/>
          <w:lang w:eastAsia="en-GB"/>
        </w:rPr>
      </w:pPr>
    </w:p>
    <w:p w14:paraId="3480E366" w14:textId="49DA9772" w:rsidR="00A576E2" w:rsidRPr="00324A10" w:rsidRDefault="00952CB6" w:rsidP="00F33A8C">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We think it is important for the Energy Consumers Commission to consider the customer journey of many older people and why they</w:t>
      </w:r>
      <w:r w:rsidR="00A35CD7" w:rsidRPr="00324A10">
        <w:rPr>
          <w:rFonts w:ascii="FS Me" w:eastAsia="Times New Roman" w:hAnsi="FS Me" w:cs="Helvetica"/>
          <w:lang w:eastAsia="en-GB"/>
        </w:rPr>
        <w:t xml:space="preserve"> appear to</w:t>
      </w:r>
      <w:r w:rsidRPr="00324A10">
        <w:rPr>
          <w:rFonts w:ascii="FS Me" w:eastAsia="Times New Roman" w:hAnsi="FS Me" w:cs="Helvetica"/>
          <w:lang w:eastAsia="en-GB"/>
        </w:rPr>
        <w:t xml:space="preserve"> feel so disengaged from managing their energy costs through actions such as switching energy provider. </w:t>
      </w:r>
      <w:r w:rsidR="00A630DC" w:rsidRPr="00324A10">
        <w:rPr>
          <w:rFonts w:ascii="FS Me" w:eastAsia="Times New Roman" w:hAnsi="FS Me" w:cs="Helvetica"/>
          <w:lang w:eastAsia="en-GB"/>
        </w:rPr>
        <w:t>An important element of this will be how easy it is to contact energy providers and whether their service directs people to contact them online. Age Scotland cons</w:t>
      </w:r>
      <w:r w:rsidR="002172C0" w:rsidRPr="00324A10">
        <w:rPr>
          <w:rFonts w:ascii="FS Me" w:eastAsia="Times New Roman" w:hAnsi="FS Me" w:cs="Helvetica"/>
          <w:lang w:eastAsia="en-GB"/>
        </w:rPr>
        <w:t xml:space="preserve">istently </w:t>
      </w:r>
      <w:r w:rsidR="00A630DC" w:rsidRPr="00324A10">
        <w:rPr>
          <w:rFonts w:ascii="FS Me" w:eastAsia="Times New Roman" w:hAnsi="FS Me" w:cs="Helvetica"/>
          <w:lang w:eastAsia="en-GB"/>
        </w:rPr>
        <w:t xml:space="preserve">raises the </w:t>
      </w:r>
      <w:r w:rsidR="003C36E5" w:rsidRPr="00324A10">
        <w:rPr>
          <w:rFonts w:ascii="FS Me" w:eastAsia="Times New Roman" w:hAnsi="FS Me" w:cs="Helvetica"/>
          <w:lang w:eastAsia="en-GB"/>
        </w:rPr>
        <w:t>challenges faced by older people when</w:t>
      </w:r>
      <w:r w:rsidR="00A630DC" w:rsidRPr="00324A10">
        <w:rPr>
          <w:rFonts w:ascii="FS Me" w:eastAsia="Times New Roman" w:hAnsi="FS Me" w:cs="Helvetica"/>
          <w:lang w:eastAsia="en-GB"/>
        </w:rPr>
        <w:t xml:space="preserve"> services and information </w:t>
      </w:r>
      <w:r w:rsidR="003C36E5" w:rsidRPr="00324A10">
        <w:rPr>
          <w:rFonts w:ascii="FS Me" w:eastAsia="Times New Roman" w:hAnsi="FS Me" w:cs="Helvetica"/>
          <w:lang w:eastAsia="en-GB"/>
        </w:rPr>
        <w:t>becomes</w:t>
      </w:r>
      <w:r w:rsidR="00A630DC" w:rsidRPr="00324A10">
        <w:rPr>
          <w:rFonts w:ascii="FS Me" w:eastAsia="Times New Roman" w:hAnsi="FS Me" w:cs="Helvetica"/>
          <w:lang w:eastAsia="en-GB"/>
        </w:rPr>
        <w:t xml:space="preserve"> digital by default</w:t>
      </w:r>
      <w:r w:rsidR="003C36E5" w:rsidRPr="00324A10">
        <w:rPr>
          <w:rFonts w:ascii="FS Me" w:eastAsia="Times New Roman" w:hAnsi="FS Me" w:cs="Helvetica"/>
          <w:lang w:eastAsia="en-GB"/>
        </w:rPr>
        <w:t>.</w:t>
      </w:r>
      <w:r w:rsidR="00B6621E" w:rsidRPr="00324A10">
        <w:rPr>
          <w:rFonts w:ascii="FS Me" w:eastAsia="Times New Roman" w:hAnsi="FS Me" w:cs="Helvetica"/>
          <w:lang w:eastAsia="en-GB"/>
        </w:rPr>
        <w:t xml:space="preserve"> </w:t>
      </w:r>
      <w:r w:rsidR="000E52F4" w:rsidRPr="00324A10">
        <w:rPr>
          <w:rFonts w:ascii="FS Me" w:eastAsia="Times New Roman" w:hAnsi="FS Me" w:cs="Helvetica"/>
          <w:lang w:eastAsia="en-GB"/>
        </w:rPr>
        <w:t>This is important because t</w:t>
      </w:r>
      <w:r w:rsidR="00AD2083" w:rsidRPr="00324A10">
        <w:rPr>
          <w:rFonts w:ascii="FS Me" w:eastAsia="Times New Roman" w:hAnsi="FS Me" w:cs="Helvetica"/>
          <w:lang w:eastAsia="en-GB"/>
        </w:rPr>
        <w:t xml:space="preserve">here are </w:t>
      </w:r>
      <w:r w:rsidR="00AD2083" w:rsidRPr="00324A10">
        <w:rPr>
          <w:rFonts w:ascii="FS Me" w:hAnsi="FS Me"/>
        </w:rPr>
        <w:t>around 500,000 people over 60 in Scotland who do</w:t>
      </w:r>
      <w:r w:rsidR="005D25CA" w:rsidRPr="00324A10">
        <w:rPr>
          <w:rFonts w:ascii="FS Me" w:hAnsi="FS Me"/>
        </w:rPr>
        <w:t xml:space="preserve"> not</w:t>
      </w:r>
      <w:r w:rsidR="00AD2083" w:rsidRPr="00324A10">
        <w:rPr>
          <w:rFonts w:ascii="FS Me" w:hAnsi="FS Me"/>
        </w:rPr>
        <w:t xml:space="preserve"> use the internet.</w:t>
      </w:r>
      <w:r w:rsidR="005D25CA" w:rsidRPr="00324A10">
        <w:rPr>
          <w:rStyle w:val="EndnoteReference"/>
          <w:rFonts w:ascii="FS Me" w:hAnsi="FS Me"/>
        </w:rPr>
        <w:endnoteReference w:id="6"/>
      </w:r>
      <w:r w:rsidR="000E52F4" w:rsidRPr="00324A10">
        <w:rPr>
          <w:rFonts w:ascii="FS Me" w:hAnsi="FS Me"/>
        </w:rPr>
        <w:t xml:space="preserve"> </w:t>
      </w:r>
      <w:r w:rsidR="00EF1D64" w:rsidRPr="00324A10">
        <w:rPr>
          <w:rFonts w:ascii="FS Me" w:hAnsi="FS Me"/>
        </w:rPr>
        <w:t xml:space="preserve">In addition to those who do not use the internet at all, there are many older people who </w:t>
      </w:r>
      <w:r w:rsidR="007243B3" w:rsidRPr="00324A10">
        <w:rPr>
          <w:rFonts w:ascii="FS Me" w:hAnsi="FS Me"/>
        </w:rPr>
        <w:t xml:space="preserve">generally </w:t>
      </w:r>
      <w:r w:rsidR="00EF1D64" w:rsidRPr="00324A10">
        <w:rPr>
          <w:rFonts w:ascii="FS Me" w:hAnsi="FS Me"/>
        </w:rPr>
        <w:t>prefer not to use it for money related issues.</w:t>
      </w:r>
      <w:r w:rsidR="007243B3" w:rsidRPr="00324A10">
        <w:rPr>
          <w:rFonts w:ascii="FS Me" w:hAnsi="FS Me"/>
        </w:rPr>
        <w:t xml:space="preserve"> </w:t>
      </w:r>
    </w:p>
    <w:p w14:paraId="5F1A396A" w14:textId="77777777" w:rsidR="00A576E2" w:rsidRPr="00324A10" w:rsidRDefault="00A576E2" w:rsidP="00F33A8C">
      <w:pPr>
        <w:shd w:val="clear" w:color="auto" w:fill="FFFFFF"/>
        <w:spacing w:after="0" w:line="240" w:lineRule="auto"/>
        <w:rPr>
          <w:rFonts w:ascii="FS Me" w:eastAsia="Times New Roman" w:hAnsi="FS Me" w:cs="Helvetica"/>
          <w:lang w:eastAsia="en-GB"/>
        </w:rPr>
      </w:pPr>
    </w:p>
    <w:p w14:paraId="662642D0" w14:textId="6873E5CF" w:rsidR="00A630DC" w:rsidRPr="00324A10" w:rsidRDefault="003C36E5" w:rsidP="00F33A8C">
      <w:pPr>
        <w:shd w:val="clear" w:color="auto" w:fill="FFFFFF"/>
        <w:spacing w:after="0" w:line="240" w:lineRule="auto"/>
        <w:rPr>
          <w:rFonts w:ascii="FS Me" w:eastAsia="Times New Roman" w:hAnsi="FS Me" w:cs="Helvetica"/>
          <w:lang w:eastAsia="en-GB"/>
        </w:rPr>
      </w:pPr>
      <w:r w:rsidRPr="00324A10">
        <w:rPr>
          <w:rFonts w:ascii="FS Me" w:eastAsia="Times New Roman" w:hAnsi="FS Me" w:cs="Helvetica"/>
          <w:lang w:eastAsia="en-GB"/>
        </w:rPr>
        <w:t>One of the effects of the</w:t>
      </w:r>
      <w:r w:rsidR="00A630DC" w:rsidRPr="00324A10">
        <w:rPr>
          <w:rFonts w:ascii="FS Me" w:eastAsia="Times New Roman" w:hAnsi="FS Me" w:cs="Helvetica"/>
          <w:lang w:eastAsia="en-GB"/>
        </w:rPr>
        <w:t xml:space="preserve"> coronavirus pandemic</w:t>
      </w:r>
      <w:r w:rsidRPr="00324A10">
        <w:rPr>
          <w:rFonts w:ascii="FS Me" w:eastAsia="Times New Roman" w:hAnsi="FS Me" w:cs="Helvetica"/>
          <w:lang w:eastAsia="en-GB"/>
        </w:rPr>
        <w:t xml:space="preserve"> on consumers</w:t>
      </w:r>
      <w:r w:rsidR="00A630DC" w:rsidRPr="00324A10">
        <w:rPr>
          <w:rFonts w:ascii="FS Me" w:eastAsia="Times New Roman" w:hAnsi="FS Me" w:cs="Helvetica"/>
          <w:lang w:eastAsia="en-GB"/>
        </w:rPr>
        <w:t xml:space="preserve"> has</w:t>
      </w:r>
      <w:r w:rsidRPr="00324A10">
        <w:rPr>
          <w:rFonts w:ascii="FS Me" w:eastAsia="Times New Roman" w:hAnsi="FS Me" w:cs="Helvetica"/>
          <w:lang w:eastAsia="en-GB"/>
        </w:rPr>
        <w:t xml:space="preserve"> been the difficult</w:t>
      </w:r>
      <w:r w:rsidR="005D25CA" w:rsidRPr="00324A10">
        <w:rPr>
          <w:rFonts w:ascii="FS Me" w:eastAsia="Times New Roman" w:hAnsi="FS Me" w:cs="Helvetica"/>
          <w:lang w:eastAsia="en-GB"/>
        </w:rPr>
        <w:t>ly</w:t>
      </w:r>
      <w:r w:rsidRPr="00324A10">
        <w:rPr>
          <w:rFonts w:ascii="FS Me" w:eastAsia="Times New Roman" w:hAnsi="FS Me" w:cs="Helvetica"/>
          <w:lang w:eastAsia="en-GB"/>
        </w:rPr>
        <w:t xml:space="preserve"> faced in being able to speak to a representative</w:t>
      </w:r>
      <w:r w:rsidR="005D25CA" w:rsidRPr="00324A10">
        <w:rPr>
          <w:rFonts w:ascii="FS Me" w:eastAsia="Times New Roman" w:hAnsi="FS Me" w:cs="Helvetica"/>
          <w:lang w:eastAsia="en-GB"/>
        </w:rPr>
        <w:t>,</w:t>
      </w:r>
      <w:r w:rsidR="00B6621E" w:rsidRPr="00324A10">
        <w:rPr>
          <w:rFonts w:ascii="FS Me" w:eastAsia="Times New Roman" w:hAnsi="FS Me" w:cs="Helvetica"/>
          <w:lang w:eastAsia="en-GB"/>
        </w:rPr>
        <w:t xml:space="preserve"> </w:t>
      </w:r>
      <w:r w:rsidR="00A630DC" w:rsidRPr="00324A10">
        <w:rPr>
          <w:rFonts w:ascii="FS Me" w:eastAsia="Times New Roman" w:hAnsi="FS Me" w:cs="Helvetica"/>
          <w:lang w:eastAsia="en-GB"/>
        </w:rPr>
        <w:t xml:space="preserve">as many companies could not cope with the volume of phone calls </w:t>
      </w:r>
      <w:r w:rsidRPr="00324A10">
        <w:rPr>
          <w:rFonts w:ascii="FS Me" w:eastAsia="Times New Roman" w:hAnsi="FS Me" w:cs="Helvetica"/>
          <w:lang w:eastAsia="en-GB"/>
        </w:rPr>
        <w:t xml:space="preserve">being made </w:t>
      </w:r>
      <w:r w:rsidR="00A630DC" w:rsidRPr="00324A10">
        <w:rPr>
          <w:rFonts w:ascii="FS Me" w:eastAsia="Times New Roman" w:hAnsi="FS Me" w:cs="Helvetica"/>
          <w:lang w:eastAsia="en-GB"/>
        </w:rPr>
        <w:t xml:space="preserve">and </w:t>
      </w:r>
      <w:r w:rsidR="005A4F66" w:rsidRPr="00324A10">
        <w:rPr>
          <w:rFonts w:ascii="FS Me" w:eastAsia="Times New Roman" w:hAnsi="FS Me" w:cs="Helvetica"/>
          <w:lang w:eastAsia="en-GB"/>
        </w:rPr>
        <w:t xml:space="preserve">so </w:t>
      </w:r>
      <w:r w:rsidR="00A630DC" w:rsidRPr="00324A10">
        <w:rPr>
          <w:rFonts w:ascii="FS Me" w:eastAsia="Times New Roman" w:hAnsi="FS Me" w:cs="Helvetica"/>
          <w:lang w:eastAsia="en-GB"/>
        </w:rPr>
        <w:t>directed customers to contact them online</w:t>
      </w:r>
      <w:r w:rsidRPr="00324A10">
        <w:rPr>
          <w:rFonts w:ascii="FS Me" w:eastAsia="Times New Roman" w:hAnsi="FS Me" w:cs="Helvetica"/>
          <w:lang w:eastAsia="en-GB"/>
        </w:rPr>
        <w:t>, often exclusively</w:t>
      </w:r>
      <w:r w:rsidR="005D25CA" w:rsidRPr="00324A10">
        <w:rPr>
          <w:rFonts w:ascii="FS Me" w:eastAsia="Times New Roman" w:hAnsi="FS Me" w:cs="Helvetica"/>
          <w:lang w:eastAsia="en-GB"/>
        </w:rPr>
        <w:t>.</w:t>
      </w:r>
    </w:p>
    <w:p w14:paraId="6878BEEA" w14:textId="77777777" w:rsidR="002A104E" w:rsidRPr="00324A10" w:rsidRDefault="002A104E" w:rsidP="00F33A8C">
      <w:pPr>
        <w:shd w:val="clear" w:color="auto" w:fill="FFFFFF"/>
        <w:spacing w:after="0" w:line="240" w:lineRule="auto"/>
        <w:rPr>
          <w:rFonts w:ascii="FS Me" w:eastAsia="Times New Roman" w:hAnsi="FS Me" w:cs="Helvetica"/>
          <w:lang w:eastAsia="en-GB"/>
        </w:rPr>
      </w:pPr>
    </w:p>
    <w:p w14:paraId="027E2910" w14:textId="3E62D5DF" w:rsidR="00BD7E62" w:rsidRPr="00324A10" w:rsidRDefault="00BD7E62" w:rsidP="007D1EBA">
      <w:pPr>
        <w:shd w:val="clear" w:color="auto" w:fill="FFFFFF"/>
        <w:spacing w:after="420" w:line="240" w:lineRule="auto"/>
        <w:rPr>
          <w:rFonts w:ascii="FS Me" w:eastAsia="Times New Roman" w:hAnsi="FS Me" w:cs="Helvetica"/>
          <w:lang w:eastAsia="en-GB"/>
        </w:rPr>
      </w:pPr>
      <w:r w:rsidRPr="00324A10">
        <w:rPr>
          <w:rFonts w:ascii="FS Me" w:eastAsia="Times New Roman" w:hAnsi="FS Me" w:cs="Helvetica"/>
          <w:lang w:eastAsia="en-GB"/>
        </w:rPr>
        <w:t xml:space="preserve">Avoiding </w:t>
      </w:r>
      <w:r w:rsidR="002456CA" w:rsidRPr="00324A10">
        <w:rPr>
          <w:rFonts w:ascii="FS Me" w:eastAsia="Times New Roman" w:hAnsi="FS Me" w:cs="Helvetica"/>
          <w:lang w:eastAsia="en-GB"/>
        </w:rPr>
        <w:t>‘</w:t>
      </w:r>
      <w:r w:rsidRPr="00324A10">
        <w:rPr>
          <w:rFonts w:ascii="FS Me" w:eastAsia="Times New Roman" w:hAnsi="FS Me" w:cs="Helvetica"/>
          <w:lang w:eastAsia="en-GB"/>
        </w:rPr>
        <w:t>digital by default</w:t>
      </w:r>
      <w:r w:rsidR="002456CA" w:rsidRPr="00324A10">
        <w:rPr>
          <w:rFonts w:ascii="FS Me" w:eastAsia="Times New Roman" w:hAnsi="FS Me" w:cs="Helvetica"/>
          <w:lang w:eastAsia="en-GB"/>
        </w:rPr>
        <w:t>’</w:t>
      </w:r>
      <w:r w:rsidR="003C36E5" w:rsidRPr="00324A10">
        <w:rPr>
          <w:rFonts w:ascii="FS Me" w:eastAsia="Times New Roman" w:hAnsi="FS Me" w:cs="Helvetica"/>
          <w:lang w:eastAsia="en-GB"/>
        </w:rPr>
        <w:t xml:space="preserve"> or digital only means of communication</w:t>
      </w:r>
      <w:r w:rsidR="002456CA" w:rsidRPr="00324A10">
        <w:rPr>
          <w:rFonts w:ascii="FS Me" w:eastAsia="Times New Roman" w:hAnsi="FS Me" w:cs="Helvetica"/>
          <w:lang w:eastAsia="en-GB"/>
        </w:rPr>
        <w:t xml:space="preserve"> is an</w:t>
      </w:r>
      <w:r w:rsidR="006D2506" w:rsidRPr="00324A10">
        <w:rPr>
          <w:rFonts w:ascii="FS Me" w:eastAsia="Times New Roman" w:hAnsi="FS Me" w:cs="Helvetica"/>
          <w:lang w:eastAsia="en-GB"/>
        </w:rPr>
        <w:t xml:space="preserve"> important area of concern that should form part of the ECC’s awareness </w:t>
      </w:r>
      <w:r w:rsidR="00262A88" w:rsidRPr="00324A10">
        <w:rPr>
          <w:rFonts w:ascii="FS Me" w:eastAsia="Times New Roman" w:hAnsi="FS Me" w:cs="Helvetica"/>
          <w:lang w:eastAsia="en-GB"/>
        </w:rPr>
        <w:t>during all projects</w:t>
      </w:r>
      <w:r w:rsidR="005A4F66" w:rsidRPr="00324A10">
        <w:rPr>
          <w:rFonts w:ascii="FS Me" w:eastAsia="Times New Roman" w:hAnsi="FS Me" w:cs="Helvetica"/>
          <w:lang w:eastAsia="en-GB"/>
        </w:rPr>
        <w:t>.</w:t>
      </w:r>
    </w:p>
    <w:p w14:paraId="05FE22B3" w14:textId="708D35DE" w:rsidR="007D1EBA" w:rsidRPr="00324A10" w:rsidRDefault="007D1EBA" w:rsidP="00883990">
      <w:pPr>
        <w:pStyle w:val="ListParagraph"/>
        <w:numPr>
          <w:ilvl w:val="0"/>
          <w:numId w:val="5"/>
        </w:numPr>
        <w:shd w:val="clear" w:color="auto" w:fill="FFFFFF"/>
        <w:spacing w:after="420" w:line="240" w:lineRule="auto"/>
        <w:rPr>
          <w:rFonts w:ascii="FS Me" w:eastAsia="Times New Roman" w:hAnsi="FS Me" w:cs="Helvetica"/>
          <w:lang w:eastAsia="en-GB"/>
        </w:rPr>
      </w:pPr>
      <w:r w:rsidRPr="00324A10">
        <w:rPr>
          <w:rFonts w:ascii="FS Me" w:eastAsia="Times New Roman" w:hAnsi="FS Me" w:cs="Helvetica"/>
          <w:lang w:eastAsia="en-GB"/>
        </w:rPr>
        <w:lastRenderedPageBreak/>
        <w:t>Do you have any further comments?</w:t>
      </w:r>
    </w:p>
    <w:p w14:paraId="21EF5936" w14:textId="4D239E4B" w:rsidR="009D6807" w:rsidRPr="00324A10" w:rsidRDefault="005A4F66" w:rsidP="009D6807">
      <w:pPr>
        <w:rPr>
          <w:rFonts w:ascii="FS Me" w:hAnsi="FS Me" w:cs="Helvetica"/>
          <w:shd w:val="clear" w:color="auto" w:fill="FFFFFF"/>
        </w:rPr>
      </w:pPr>
      <w:r w:rsidRPr="00324A10">
        <w:rPr>
          <w:rFonts w:ascii="FS Me" w:hAnsi="FS Me" w:cs="Helvetica"/>
          <w:shd w:val="clear" w:color="auto" w:fill="FFFFFF"/>
        </w:rPr>
        <w:t>No.</w:t>
      </w:r>
    </w:p>
    <w:p w14:paraId="4A47D489" w14:textId="0931BDB1" w:rsidR="009D6807" w:rsidRPr="00D67787" w:rsidRDefault="009D6807" w:rsidP="009D6807">
      <w:pPr>
        <w:rPr>
          <w:rFonts w:ascii="FS Me" w:hAnsi="FS Me" w:cs="Helvetica"/>
          <w:color w:val="333333"/>
          <w:shd w:val="clear" w:color="auto" w:fill="FFFFFF"/>
        </w:rPr>
      </w:pPr>
    </w:p>
    <w:sectPr w:rsidR="009D6807" w:rsidRPr="00D6778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0204C" w14:textId="77777777" w:rsidR="00994FB5" w:rsidRDefault="00994FB5" w:rsidP="00C9343F">
      <w:pPr>
        <w:spacing w:after="0" w:line="240" w:lineRule="auto"/>
      </w:pPr>
      <w:r>
        <w:separator/>
      </w:r>
    </w:p>
  </w:endnote>
  <w:endnote w:type="continuationSeparator" w:id="0">
    <w:p w14:paraId="7807AD5A" w14:textId="77777777" w:rsidR="00994FB5" w:rsidRDefault="00994FB5" w:rsidP="00C9343F">
      <w:pPr>
        <w:spacing w:after="0" w:line="240" w:lineRule="auto"/>
      </w:pPr>
      <w:r>
        <w:continuationSeparator/>
      </w:r>
    </w:p>
  </w:endnote>
  <w:endnote w:id="1">
    <w:p w14:paraId="0CC9B3B9" w14:textId="444D2F11" w:rsidR="005556ED" w:rsidRDefault="005556ED">
      <w:pPr>
        <w:pStyle w:val="EndnoteText"/>
      </w:pPr>
      <w:r>
        <w:rPr>
          <w:rStyle w:val="EndnoteReference"/>
        </w:rPr>
        <w:endnoteRef/>
      </w:r>
      <w:r>
        <w:t xml:space="preserve"> </w:t>
      </w:r>
      <w:hyperlink r:id="rId1" w:history="1">
        <w:r w:rsidRPr="000E247F">
          <w:rPr>
            <w:rStyle w:val="Hyperlink"/>
          </w:rPr>
          <w:t>https://www.ageuk.org.uk/scotland/our-impact/policy-and-research/political-briefings/orkney-housing-survey/</w:t>
        </w:r>
      </w:hyperlink>
      <w:r>
        <w:t xml:space="preserve"> </w:t>
      </w:r>
    </w:p>
  </w:endnote>
  <w:endnote w:id="2">
    <w:p w14:paraId="68056C5E" w14:textId="44BA9D49" w:rsidR="006A3C6C" w:rsidRDefault="006A3C6C">
      <w:pPr>
        <w:pStyle w:val="EndnoteText"/>
      </w:pPr>
      <w:r>
        <w:rPr>
          <w:rStyle w:val="EndnoteReference"/>
        </w:rPr>
        <w:endnoteRef/>
      </w:r>
      <w:r>
        <w:t xml:space="preserve"> Same as above.</w:t>
      </w:r>
    </w:p>
  </w:endnote>
  <w:endnote w:id="3">
    <w:p w14:paraId="370AEB24" w14:textId="77777777" w:rsidR="00FB66EB" w:rsidRDefault="00FB66EB" w:rsidP="00FB66EB">
      <w:pPr>
        <w:pStyle w:val="EndnoteText"/>
      </w:pPr>
      <w:r>
        <w:rPr>
          <w:rStyle w:val="EndnoteReference"/>
        </w:rPr>
        <w:endnoteRef/>
      </w:r>
      <w:r>
        <w:t xml:space="preserve"> </w:t>
      </w:r>
      <w:hyperlink r:id="rId2" w:history="1">
        <w:r>
          <w:rPr>
            <w:rStyle w:val="Hyperlink"/>
          </w:rPr>
          <w:t>https://www.gov.scot/publications/scotlands-people-annual-report-results-2018-scottish-household-survey/pages/7/</w:t>
        </w:r>
      </w:hyperlink>
    </w:p>
  </w:endnote>
  <w:endnote w:id="4">
    <w:p w14:paraId="0B572E99" w14:textId="7E770652" w:rsidR="002B19D9" w:rsidRDefault="002B19D9">
      <w:pPr>
        <w:pStyle w:val="EndnoteText"/>
      </w:pPr>
      <w:r>
        <w:rPr>
          <w:rStyle w:val="EndnoteReference"/>
        </w:rPr>
        <w:endnoteRef/>
      </w:r>
      <w:r>
        <w:t xml:space="preserve"> </w:t>
      </w:r>
      <w:r w:rsidR="00A11741">
        <w:t xml:space="preserve">This research will be available from this landing page: </w:t>
      </w:r>
      <w:hyperlink r:id="rId3" w:history="1">
        <w:r w:rsidR="00A11741" w:rsidRPr="000E247F">
          <w:rPr>
            <w:rStyle w:val="Hyperlink"/>
          </w:rPr>
          <w:t>https://www.ageuk.org.uk/scotland/our-impact/policy-and-research/political-briefings/</w:t>
        </w:r>
      </w:hyperlink>
      <w:r w:rsidR="00A11741">
        <w:t xml:space="preserve"> </w:t>
      </w:r>
    </w:p>
  </w:endnote>
  <w:endnote w:id="5">
    <w:p w14:paraId="23D19316" w14:textId="409FAD40" w:rsidR="00C16B3E" w:rsidRDefault="00C16B3E">
      <w:pPr>
        <w:pStyle w:val="EndnoteText"/>
      </w:pPr>
      <w:r>
        <w:rPr>
          <w:rStyle w:val="EndnoteReference"/>
        </w:rPr>
        <w:endnoteRef/>
      </w:r>
      <w:r>
        <w:t xml:space="preserve"> </w:t>
      </w:r>
      <w:hyperlink r:id="rId4" w:history="1">
        <w:r w:rsidRPr="000E247F">
          <w:rPr>
            <w:rStyle w:val="Hyperlink"/>
          </w:rPr>
          <w:t>https://www.ageuk.org.uk/scotland/our-impact/policy-and-research/political-briefings/national-housing-survey/</w:t>
        </w:r>
      </w:hyperlink>
      <w:r>
        <w:t xml:space="preserve"> </w:t>
      </w:r>
    </w:p>
  </w:endnote>
  <w:endnote w:id="6">
    <w:p w14:paraId="6E857F01" w14:textId="1AC92C5E" w:rsidR="005D25CA" w:rsidRDefault="005D25CA">
      <w:pPr>
        <w:pStyle w:val="EndnoteText"/>
      </w:pPr>
      <w:r>
        <w:rPr>
          <w:rStyle w:val="EndnoteReference"/>
        </w:rPr>
        <w:endnoteRef/>
      </w:r>
      <w:r>
        <w:t xml:space="preserve"> </w:t>
      </w:r>
      <w:hyperlink r:id="rId5" w:history="1">
        <w:r>
          <w:rPr>
            <w:rStyle w:val="Hyperlink"/>
          </w:rPr>
          <w:t>https://www.gov.scot/publications/scotlands-people-annual-report-results-2018-scottish-household-survey/pages/7/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8DF8F" w14:textId="77777777" w:rsidR="00994FB5" w:rsidRDefault="00994FB5" w:rsidP="00C9343F">
      <w:pPr>
        <w:spacing w:after="0" w:line="240" w:lineRule="auto"/>
      </w:pPr>
      <w:r>
        <w:separator/>
      </w:r>
    </w:p>
  </w:footnote>
  <w:footnote w:type="continuationSeparator" w:id="0">
    <w:p w14:paraId="5C4B8E43" w14:textId="77777777" w:rsidR="00994FB5" w:rsidRDefault="00994FB5" w:rsidP="00C9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6AE7" w14:textId="77777777" w:rsidR="00C9343F" w:rsidRDefault="00C9343F" w:rsidP="00C9343F">
    <w:pPr>
      <w:pStyle w:val="Header"/>
    </w:pPr>
    <w:r>
      <w:rPr>
        <w:noProof/>
      </w:rPr>
      <mc:AlternateContent>
        <mc:Choice Requires="wps">
          <w:drawing>
            <wp:anchor distT="0" distB="0" distL="114300" distR="114300" simplePos="0" relativeHeight="251661312" behindDoc="0" locked="0" layoutInCell="1" allowOverlap="1" wp14:anchorId="52544DC4" wp14:editId="073846BA">
              <wp:simplePos x="0" y="0"/>
              <wp:positionH relativeFrom="column">
                <wp:posOffset>-285750</wp:posOffset>
              </wp:positionH>
              <wp:positionV relativeFrom="paragraph">
                <wp:posOffset>-208280</wp:posOffset>
              </wp:positionV>
              <wp:extent cx="2851150" cy="44609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46092"/>
                      </a:xfrm>
                      <a:prstGeom prst="rect">
                        <a:avLst/>
                      </a:prstGeom>
                      <a:noFill/>
                      <a:ln w="9525">
                        <a:noFill/>
                        <a:miter lim="800000"/>
                        <a:headEnd/>
                        <a:tailEnd/>
                      </a:ln>
                    </wps:spPr>
                    <wps:txbx>
                      <w:txbxContent>
                        <w:p w14:paraId="2A4FAC8B" w14:textId="77777777" w:rsidR="00C9343F" w:rsidRPr="003A25B9" w:rsidRDefault="00C9343F" w:rsidP="00C9343F">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a:graphicData>
              </a:graphic>
            </wp:anchor>
          </w:drawing>
        </mc:Choice>
        <mc:Fallback>
          <w:pict>
            <v:shapetype w14:anchorId="52544DC4" id="_x0000_t202" coordsize="21600,21600" o:spt="202" path="m,l,21600r21600,l21600,xe">
              <v:stroke joinstyle="miter"/>
              <v:path gradientshapeok="t" o:connecttype="rect"/>
            </v:shapetype>
            <v:shape id="_x0000_s1027" type="#_x0000_t202" style="position:absolute;margin-left:-22.5pt;margin-top:-16.4pt;width:224.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" filled="f" stroked="f">
              <v:textbox>
                <w:txbxContent>
                  <w:p w14:paraId="2A4FAC8B" w14:textId="77777777" w:rsidR="00C9343F" w:rsidRPr="003A25B9" w:rsidRDefault="00C9343F" w:rsidP="00C9343F">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4FDFDFA" wp14:editId="6F052055">
              <wp:simplePos x="0" y="0"/>
              <wp:positionH relativeFrom="column">
                <wp:posOffset>-336550</wp:posOffset>
              </wp:positionH>
              <wp:positionV relativeFrom="paragraph">
                <wp:posOffset>-572135</wp:posOffset>
              </wp:positionV>
              <wp:extent cx="3057525" cy="1036320"/>
              <wp:effectExtent l="0" t="0" r="0" b="0"/>
              <wp:wrapNone/>
              <wp:docPr id="10" name="Rounded Rectangle 12"/>
              <wp:cNvGraphicFramePr/>
              <a:graphic xmlns:a="http://schemas.openxmlformats.org/drawingml/2006/main">
                <a:graphicData uri="http://schemas.microsoft.com/office/word/2010/wordprocessingShape">
                  <wps:wsp>
                    <wps:cNvSpPr/>
                    <wps:spPr>
                      <a:xfrm>
                        <a:off x="0" y="0"/>
                        <a:ext cx="3057525" cy="1036320"/>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346E8" id="Rounded Rectangle 12" o:spid="_x0000_s1026" style="position:absolute;margin-left:-26.5pt;margin-top:-45.05pt;width:240.75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" fillcolor="#cb007a" stroked="f" strokeweight="1pt">
              <v:stroke joinstyle="miter"/>
            </v:roundrect>
          </w:pict>
        </mc:Fallback>
      </mc:AlternateContent>
    </w:r>
    <w:r>
      <w:rPr>
        <w:noProof/>
        <w:lang w:eastAsia="en-GB"/>
      </w:rPr>
      <w:drawing>
        <wp:anchor distT="0" distB="0" distL="114300" distR="114300" simplePos="0" relativeHeight="251660288" behindDoc="1" locked="0" layoutInCell="1" allowOverlap="1" wp14:anchorId="32B645C8" wp14:editId="159FC886">
          <wp:simplePos x="0" y="0"/>
          <wp:positionH relativeFrom="column">
            <wp:posOffset>4641850</wp:posOffset>
          </wp:positionH>
          <wp:positionV relativeFrom="paragraph">
            <wp:posOffset>-284480</wp:posOffset>
          </wp:positionV>
          <wp:extent cx="1790700" cy="804632"/>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04632"/>
                  </a:xfrm>
                  <a:prstGeom prst="rect">
                    <a:avLst/>
                  </a:prstGeom>
                </pic:spPr>
              </pic:pic>
            </a:graphicData>
          </a:graphic>
        </wp:anchor>
      </w:drawing>
    </w:r>
  </w:p>
  <w:p w14:paraId="6C820059" w14:textId="77777777" w:rsidR="00C9343F" w:rsidRDefault="00C9343F" w:rsidP="00C9343F">
    <w:pPr>
      <w:pStyle w:val="Header"/>
    </w:pPr>
  </w:p>
  <w:p w14:paraId="6F392268" w14:textId="77777777" w:rsidR="00C9343F" w:rsidRDefault="00C9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52E3"/>
    <w:multiLevelType w:val="hybridMultilevel"/>
    <w:tmpl w:val="2774F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333"/>
    <w:multiLevelType w:val="multilevel"/>
    <w:tmpl w:val="D41CB1DE"/>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Wingdings" w:hAnsi="Wingdings" w:hint="default"/>
        <w:sz w:val="20"/>
      </w:rPr>
    </w:lvl>
    <w:lvl w:ilvl="3" w:tentative="1">
      <w:start w:val="1"/>
      <w:numFmt w:val="bullet"/>
      <w:lvlText w:val=""/>
      <w:lvlJc w:val="left"/>
      <w:pPr>
        <w:tabs>
          <w:tab w:val="num" w:pos="3720"/>
        </w:tabs>
        <w:ind w:left="3720" w:hanging="360"/>
      </w:pPr>
      <w:rPr>
        <w:rFonts w:ascii="Wingdings" w:hAnsi="Wingdings" w:hint="default"/>
        <w:sz w:val="20"/>
      </w:rPr>
    </w:lvl>
    <w:lvl w:ilvl="4" w:tentative="1">
      <w:start w:val="1"/>
      <w:numFmt w:val="bullet"/>
      <w:lvlText w:val=""/>
      <w:lvlJc w:val="left"/>
      <w:pPr>
        <w:tabs>
          <w:tab w:val="num" w:pos="4440"/>
        </w:tabs>
        <w:ind w:left="4440" w:hanging="360"/>
      </w:pPr>
      <w:rPr>
        <w:rFonts w:ascii="Wingdings" w:hAnsi="Wingdings" w:hint="default"/>
        <w:sz w:val="20"/>
      </w:rPr>
    </w:lvl>
    <w:lvl w:ilvl="5" w:tentative="1">
      <w:start w:val="1"/>
      <w:numFmt w:val="bullet"/>
      <w:lvlText w:val=""/>
      <w:lvlJc w:val="left"/>
      <w:pPr>
        <w:tabs>
          <w:tab w:val="num" w:pos="5160"/>
        </w:tabs>
        <w:ind w:left="5160" w:hanging="360"/>
      </w:pPr>
      <w:rPr>
        <w:rFonts w:ascii="Wingdings" w:hAnsi="Wingdings" w:hint="default"/>
        <w:sz w:val="20"/>
      </w:rPr>
    </w:lvl>
    <w:lvl w:ilvl="6" w:tentative="1">
      <w:start w:val="1"/>
      <w:numFmt w:val="bullet"/>
      <w:lvlText w:val=""/>
      <w:lvlJc w:val="left"/>
      <w:pPr>
        <w:tabs>
          <w:tab w:val="num" w:pos="5880"/>
        </w:tabs>
        <w:ind w:left="5880" w:hanging="360"/>
      </w:pPr>
      <w:rPr>
        <w:rFonts w:ascii="Wingdings" w:hAnsi="Wingdings" w:hint="default"/>
        <w:sz w:val="20"/>
      </w:rPr>
    </w:lvl>
    <w:lvl w:ilvl="7" w:tentative="1">
      <w:start w:val="1"/>
      <w:numFmt w:val="bullet"/>
      <w:lvlText w:val=""/>
      <w:lvlJc w:val="left"/>
      <w:pPr>
        <w:tabs>
          <w:tab w:val="num" w:pos="6600"/>
        </w:tabs>
        <w:ind w:left="6600" w:hanging="360"/>
      </w:pPr>
      <w:rPr>
        <w:rFonts w:ascii="Wingdings" w:hAnsi="Wingdings" w:hint="default"/>
        <w:sz w:val="20"/>
      </w:rPr>
    </w:lvl>
    <w:lvl w:ilvl="8" w:tentative="1">
      <w:start w:val="1"/>
      <w:numFmt w:val="bullet"/>
      <w:lvlText w:val=""/>
      <w:lvlJc w:val="left"/>
      <w:pPr>
        <w:tabs>
          <w:tab w:val="num" w:pos="7320"/>
        </w:tabs>
        <w:ind w:left="7320" w:hanging="360"/>
      </w:pPr>
      <w:rPr>
        <w:rFonts w:ascii="Wingdings" w:hAnsi="Wingdings" w:hint="default"/>
        <w:sz w:val="20"/>
      </w:rPr>
    </w:lvl>
  </w:abstractNum>
  <w:abstractNum w:abstractNumId="2" w15:restartNumberingAfterBreak="0">
    <w:nsid w:val="2E4C4634"/>
    <w:multiLevelType w:val="hybridMultilevel"/>
    <w:tmpl w:val="D96C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502DB"/>
    <w:multiLevelType w:val="multilevel"/>
    <w:tmpl w:val="653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A1604"/>
    <w:multiLevelType w:val="hybridMultilevel"/>
    <w:tmpl w:val="9970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F264E"/>
    <w:multiLevelType w:val="hybridMultilevel"/>
    <w:tmpl w:val="231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B73C6"/>
    <w:multiLevelType w:val="hybridMultilevel"/>
    <w:tmpl w:val="832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C2DB3"/>
    <w:multiLevelType w:val="hybridMultilevel"/>
    <w:tmpl w:val="BA0E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07"/>
    <w:rsid w:val="000035AC"/>
    <w:rsid w:val="00031772"/>
    <w:rsid w:val="000828AD"/>
    <w:rsid w:val="00096128"/>
    <w:rsid w:val="000B3EF5"/>
    <w:rsid w:val="000E52F4"/>
    <w:rsid w:val="000F3083"/>
    <w:rsid w:val="00155B0A"/>
    <w:rsid w:val="0017404D"/>
    <w:rsid w:val="001D46E0"/>
    <w:rsid w:val="001F1C4A"/>
    <w:rsid w:val="001F7661"/>
    <w:rsid w:val="002172C0"/>
    <w:rsid w:val="00230CA6"/>
    <w:rsid w:val="002456CA"/>
    <w:rsid w:val="002541C8"/>
    <w:rsid w:val="00262A88"/>
    <w:rsid w:val="0028325D"/>
    <w:rsid w:val="002A104E"/>
    <w:rsid w:val="002B19D9"/>
    <w:rsid w:val="002B3F03"/>
    <w:rsid w:val="002E4F50"/>
    <w:rsid w:val="002E6AC8"/>
    <w:rsid w:val="00324A10"/>
    <w:rsid w:val="003C36E5"/>
    <w:rsid w:val="003E4EEA"/>
    <w:rsid w:val="004251F9"/>
    <w:rsid w:val="00453AD8"/>
    <w:rsid w:val="005136AE"/>
    <w:rsid w:val="00537197"/>
    <w:rsid w:val="005556ED"/>
    <w:rsid w:val="00560A66"/>
    <w:rsid w:val="005626DD"/>
    <w:rsid w:val="0059372E"/>
    <w:rsid w:val="005A4F66"/>
    <w:rsid w:val="005B03A2"/>
    <w:rsid w:val="005B67C7"/>
    <w:rsid w:val="005D25CA"/>
    <w:rsid w:val="005D5E56"/>
    <w:rsid w:val="00624CC8"/>
    <w:rsid w:val="00680C5C"/>
    <w:rsid w:val="00690818"/>
    <w:rsid w:val="006A3746"/>
    <w:rsid w:val="006A3C6C"/>
    <w:rsid w:val="006D0370"/>
    <w:rsid w:val="006D2506"/>
    <w:rsid w:val="006D4EF3"/>
    <w:rsid w:val="007016FB"/>
    <w:rsid w:val="00713E2D"/>
    <w:rsid w:val="00714B67"/>
    <w:rsid w:val="007243B3"/>
    <w:rsid w:val="007B4FC6"/>
    <w:rsid w:val="007D1EBA"/>
    <w:rsid w:val="007E3BF7"/>
    <w:rsid w:val="00822F89"/>
    <w:rsid w:val="008404BC"/>
    <w:rsid w:val="00847D49"/>
    <w:rsid w:val="00852A4A"/>
    <w:rsid w:val="00883990"/>
    <w:rsid w:val="00887A55"/>
    <w:rsid w:val="0089138B"/>
    <w:rsid w:val="00893DC6"/>
    <w:rsid w:val="008C6BD1"/>
    <w:rsid w:val="008C7978"/>
    <w:rsid w:val="008E59E9"/>
    <w:rsid w:val="008E5B63"/>
    <w:rsid w:val="0091335D"/>
    <w:rsid w:val="009230EF"/>
    <w:rsid w:val="00923D3D"/>
    <w:rsid w:val="00952CB6"/>
    <w:rsid w:val="00965619"/>
    <w:rsid w:val="00982A6B"/>
    <w:rsid w:val="00991201"/>
    <w:rsid w:val="009928BA"/>
    <w:rsid w:val="00994FB5"/>
    <w:rsid w:val="00995E6B"/>
    <w:rsid w:val="00997C9E"/>
    <w:rsid w:val="009A514E"/>
    <w:rsid w:val="009D4F24"/>
    <w:rsid w:val="009D6807"/>
    <w:rsid w:val="00A11741"/>
    <w:rsid w:val="00A12595"/>
    <w:rsid w:val="00A22400"/>
    <w:rsid w:val="00A35CD7"/>
    <w:rsid w:val="00A4362E"/>
    <w:rsid w:val="00A576E2"/>
    <w:rsid w:val="00A630DC"/>
    <w:rsid w:val="00A63966"/>
    <w:rsid w:val="00A871C8"/>
    <w:rsid w:val="00AD2083"/>
    <w:rsid w:val="00AE1E3C"/>
    <w:rsid w:val="00AE7C63"/>
    <w:rsid w:val="00B067DB"/>
    <w:rsid w:val="00B6621E"/>
    <w:rsid w:val="00B7011A"/>
    <w:rsid w:val="00B73A9B"/>
    <w:rsid w:val="00B971E0"/>
    <w:rsid w:val="00BC32BD"/>
    <w:rsid w:val="00BD7E62"/>
    <w:rsid w:val="00BF1985"/>
    <w:rsid w:val="00C00712"/>
    <w:rsid w:val="00C16B3E"/>
    <w:rsid w:val="00C4647F"/>
    <w:rsid w:val="00C47419"/>
    <w:rsid w:val="00C8149B"/>
    <w:rsid w:val="00C814E5"/>
    <w:rsid w:val="00C9343F"/>
    <w:rsid w:val="00CE7C4C"/>
    <w:rsid w:val="00D15732"/>
    <w:rsid w:val="00D34F23"/>
    <w:rsid w:val="00D67787"/>
    <w:rsid w:val="00D705D2"/>
    <w:rsid w:val="00D7638C"/>
    <w:rsid w:val="00DA1E11"/>
    <w:rsid w:val="00DA22AD"/>
    <w:rsid w:val="00DB4076"/>
    <w:rsid w:val="00DC1F95"/>
    <w:rsid w:val="00DC7AD9"/>
    <w:rsid w:val="00E5143A"/>
    <w:rsid w:val="00E51F25"/>
    <w:rsid w:val="00EB6CBD"/>
    <w:rsid w:val="00ED5090"/>
    <w:rsid w:val="00EF1D64"/>
    <w:rsid w:val="00F01A65"/>
    <w:rsid w:val="00F10A13"/>
    <w:rsid w:val="00F33A8C"/>
    <w:rsid w:val="00F33E2C"/>
    <w:rsid w:val="00F33F1D"/>
    <w:rsid w:val="00F73E0D"/>
    <w:rsid w:val="00F914DE"/>
    <w:rsid w:val="00FB66EB"/>
    <w:rsid w:val="00FE79E9"/>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2C16"/>
  <w15:chartTrackingRefBased/>
  <w15:docId w15:val="{C6E00E52-95DB-4EC3-9E61-98CA6533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07"/>
    <w:pPr>
      <w:ind w:left="720"/>
      <w:contextualSpacing/>
    </w:pPr>
  </w:style>
  <w:style w:type="paragraph" w:styleId="NormalWeb">
    <w:name w:val="Normal (Web)"/>
    <w:basedOn w:val="Normal"/>
    <w:uiPriority w:val="99"/>
    <w:semiHidden/>
    <w:unhideWhenUsed/>
    <w:rsid w:val="009D6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2F89"/>
    <w:rPr>
      <w:color w:val="0563C1" w:themeColor="hyperlink"/>
      <w:u w:val="single"/>
    </w:rPr>
  </w:style>
  <w:style w:type="character" w:styleId="UnresolvedMention">
    <w:name w:val="Unresolved Mention"/>
    <w:basedOn w:val="DefaultParagraphFont"/>
    <w:uiPriority w:val="99"/>
    <w:semiHidden/>
    <w:unhideWhenUsed/>
    <w:rsid w:val="00822F89"/>
    <w:rPr>
      <w:color w:val="605E5C"/>
      <w:shd w:val="clear" w:color="auto" w:fill="E1DFDD"/>
    </w:rPr>
  </w:style>
  <w:style w:type="paragraph" w:styleId="Header">
    <w:name w:val="header"/>
    <w:basedOn w:val="Normal"/>
    <w:link w:val="HeaderChar"/>
    <w:uiPriority w:val="99"/>
    <w:unhideWhenUsed/>
    <w:rsid w:val="00C93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43F"/>
  </w:style>
  <w:style w:type="paragraph" w:styleId="Footer">
    <w:name w:val="footer"/>
    <w:basedOn w:val="Normal"/>
    <w:link w:val="FooterChar"/>
    <w:uiPriority w:val="99"/>
    <w:unhideWhenUsed/>
    <w:rsid w:val="00C93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43F"/>
  </w:style>
  <w:style w:type="character" w:styleId="FollowedHyperlink">
    <w:name w:val="FollowedHyperlink"/>
    <w:basedOn w:val="DefaultParagraphFont"/>
    <w:uiPriority w:val="99"/>
    <w:semiHidden/>
    <w:unhideWhenUsed/>
    <w:rsid w:val="007B4FC6"/>
    <w:rPr>
      <w:color w:val="954F72" w:themeColor="followedHyperlink"/>
      <w:u w:val="single"/>
    </w:rPr>
  </w:style>
  <w:style w:type="character" w:styleId="CommentReference">
    <w:name w:val="annotation reference"/>
    <w:basedOn w:val="DefaultParagraphFont"/>
    <w:uiPriority w:val="99"/>
    <w:semiHidden/>
    <w:unhideWhenUsed/>
    <w:rsid w:val="00B7011A"/>
    <w:rPr>
      <w:sz w:val="16"/>
      <w:szCs w:val="16"/>
    </w:rPr>
  </w:style>
  <w:style w:type="paragraph" w:styleId="CommentText">
    <w:name w:val="annotation text"/>
    <w:basedOn w:val="Normal"/>
    <w:link w:val="CommentTextChar"/>
    <w:uiPriority w:val="99"/>
    <w:semiHidden/>
    <w:unhideWhenUsed/>
    <w:rsid w:val="00B7011A"/>
    <w:pPr>
      <w:spacing w:line="240" w:lineRule="auto"/>
    </w:pPr>
    <w:rPr>
      <w:sz w:val="20"/>
      <w:szCs w:val="20"/>
    </w:rPr>
  </w:style>
  <w:style w:type="character" w:customStyle="1" w:styleId="CommentTextChar">
    <w:name w:val="Comment Text Char"/>
    <w:basedOn w:val="DefaultParagraphFont"/>
    <w:link w:val="CommentText"/>
    <w:uiPriority w:val="99"/>
    <w:semiHidden/>
    <w:rsid w:val="00B7011A"/>
    <w:rPr>
      <w:sz w:val="20"/>
      <w:szCs w:val="20"/>
    </w:rPr>
  </w:style>
  <w:style w:type="paragraph" w:styleId="CommentSubject">
    <w:name w:val="annotation subject"/>
    <w:basedOn w:val="CommentText"/>
    <w:next w:val="CommentText"/>
    <w:link w:val="CommentSubjectChar"/>
    <w:uiPriority w:val="99"/>
    <w:semiHidden/>
    <w:unhideWhenUsed/>
    <w:rsid w:val="00B7011A"/>
    <w:rPr>
      <w:b/>
      <w:bCs/>
    </w:rPr>
  </w:style>
  <w:style w:type="character" w:customStyle="1" w:styleId="CommentSubjectChar">
    <w:name w:val="Comment Subject Char"/>
    <w:basedOn w:val="CommentTextChar"/>
    <w:link w:val="CommentSubject"/>
    <w:uiPriority w:val="99"/>
    <w:semiHidden/>
    <w:rsid w:val="00B7011A"/>
    <w:rPr>
      <w:b/>
      <w:bCs/>
      <w:sz w:val="20"/>
      <w:szCs w:val="20"/>
    </w:rPr>
  </w:style>
  <w:style w:type="paragraph" w:styleId="FootnoteText">
    <w:name w:val="footnote text"/>
    <w:basedOn w:val="Normal"/>
    <w:link w:val="FootnoteTextChar"/>
    <w:uiPriority w:val="99"/>
    <w:semiHidden/>
    <w:unhideWhenUsed/>
    <w:rsid w:val="0017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04D"/>
    <w:rPr>
      <w:sz w:val="20"/>
      <w:szCs w:val="20"/>
    </w:rPr>
  </w:style>
  <w:style w:type="character" w:styleId="FootnoteReference">
    <w:name w:val="footnote reference"/>
    <w:basedOn w:val="DefaultParagraphFont"/>
    <w:uiPriority w:val="99"/>
    <w:semiHidden/>
    <w:unhideWhenUsed/>
    <w:rsid w:val="0017404D"/>
    <w:rPr>
      <w:vertAlign w:val="superscript"/>
    </w:rPr>
  </w:style>
  <w:style w:type="paragraph" w:styleId="EndnoteText">
    <w:name w:val="endnote text"/>
    <w:basedOn w:val="Normal"/>
    <w:link w:val="EndnoteTextChar"/>
    <w:uiPriority w:val="99"/>
    <w:semiHidden/>
    <w:unhideWhenUsed/>
    <w:rsid w:val="005556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6ED"/>
    <w:rPr>
      <w:sz w:val="20"/>
      <w:szCs w:val="20"/>
    </w:rPr>
  </w:style>
  <w:style w:type="character" w:styleId="EndnoteReference">
    <w:name w:val="endnote reference"/>
    <w:basedOn w:val="DefaultParagraphFont"/>
    <w:uiPriority w:val="99"/>
    <w:semiHidden/>
    <w:unhideWhenUsed/>
    <w:rsid w:val="00555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9424">
      <w:bodyDiv w:val="1"/>
      <w:marLeft w:val="0"/>
      <w:marRight w:val="0"/>
      <w:marTop w:val="0"/>
      <w:marBottom w:val="0"/>
      <w:divBdr>
        <w:top w:val="none" w:sz="0" w:space="0" w:color="auto"/>
        <w:left w:val="none" w:sz="0" w:space="0" w:color="auto"/>
        <w:bottom w:val="none" w:sz="0" w:space="0" w:color="auto"/>
        <w:right w:val="none" w:sz="0" w:space="0" w:color="auto"/>
      </w:divBdr>
    </w:div>
    <w:div w:id="161817122">
      <w:bodyDiv w:val="1"/>
      <w:marLeft w:val="0"/>
      <w:marRight w:val="0"/>
      <w:marTop w:val="0"/>
      <w:marBottom w:val="0"/>
      <w:divBdr>
        <w:top w:val="none" w:sz="0" w:space="0" w:color="auto"/>
        <w:left w:val="none" w:sz="0" w:space="0" w:color="auto"/>
        <w:bottom w:val="none" w:sz="0" w:space="0" w:color="auto"/>
        <w:right w:val="none" w:sz="0" w:space="0" w:color="auto"/>
      </w:divBdr>
    </w:div>
    <w:div w:id="12664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ageuk.org.uk/scotland/our-impact/policy-and-research/political-briefings/" TargetMode="External"/><Relationship Id="rId2" Type="http://schemas.openxmlformats.org/officeDocument/2006/relationships/hyperlink" Target="https://www.gov.scot/publications/scotlands-people-annual-report-results-2018-scottish-household-survey/pages/7/" TargetMode="External"/><Relationship Id="rId1" Type="http://schemas.openxmlformats.org/officeDocument/2006/relationships/hyperlink" Target="https://www.ageuk.org.uk/scotland/our-impact/policy-and-research/political-briefings/orkney-housing-survey/" TargetMode="External"/><Relationship Id="rId5" Type="http://schemas.openxmlformats.org/officeDocument/2006/relationships/hyperlink" Target="https://www.gov.scot/publications/scotlands-people-annual-report-results-2018-scottish-household-survey/pages/7/" TargetMode="External"/><Relationship Id="rId4" Type="http://schemas.openxmlformats.org/officeDocument/2006/relationships/hyperlink" Target="https://www.ageuk.org.uk/scotland/our-impact/policy-and-research/political-briefings/national-housing-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ABC0C-2AE6-47CA-8790-C9006767E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C28B5-528D-48C4-A3C9-0C2D4DED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B40AF-6156-4188-A831-31FFA8FBFCE2}">
  <ds:schemaRefs>
    <ds:schemaRef ds:uri="http://schemas.openxmlformats.org/officeDocument/2006/bibliography"/>
  </ds:schemaRefs>
</ds:datastoreItem>
</file>

<file path=customXml/itemProps4.xml><?xml version="1.0" encoding="utf-8"?>
<ds:datastoreItem xmlns:ds="http://schemas.openxmlformats.org/officeDocument/2006/customXml" ds:itemID="{AC70E5DB-61B3-4CAA-86D3-C0A4FE726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Rooks</dc:creator>
  <cp:keywords/>
  <dc:description/>
  <cp:lastModifiedBy>Caroline Rooks</cp:lastModifiedBy>
  <cp:revision>53</cp:revision>
  <dcterms:created xsi:type="dcterms:W3CDTF">2021-03-12T09:11:00Z</dcterms:created>
  <dcterms:modified xsi:type="dcterms:W3CDTF">2021-03-29T09:20:00Z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