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603EF" w14:textId="77777777" w:rsidR="00F073AA" w:rsidRDefault="00F073AA" w:rsidP="00D95185">
      <w:pPr>
        <w:pStyle w:val="Title"/>
      </w:pPr>
    </w:p>
    <w:p w14:paraId="70979AF8" w14:textId="1C9F5D96" w:rsidR="005A247D" w:rsidRPr="00D95185" w:rsidRDefault="003152C4" w:rsidP="00D95185">
      <w:pPr>
        <w:pStyle w:val="Title"/>
      </w:pPr>
      <w:r w:rsidRPr="00D95185">
        <w:t>Building for an ageing population</w:t>
      </w:r>
    </w:p>
    <w:p w14:paraId="2B64C4BA" w14:textId="77777777" w:rsidR="00FB347A" w:rsidRPr="001C4FC3" w:rsidRDefault="00FB347A" w:rsidP="00D95185"/>
    <w:p w14:paraId="432D9F0C" w14:textId="1E4464C4" w:rsidR="009B04B6" w:rsidRPr="00D95185" w:rsidRDefault="00D95185" w:rsidP="00D95185">
      <w:pPr>
        <w:pStyle w:val="Heading1"/>
      </w:pPr>
      <w:r w:rsidRPr="00D95185">
        <w:t>Introduction</w:t>
      </w:r>
      <w:r w:rsidR="009B04B6" w:rsidRPr="00D95185">
        <w:t xml:space="preserve"> </w:t>
      </w:r>
    </w:p>
    <w:p w14:paraId="5D158A31" w14:textId="3DEF2501" w:rsidR="006C75BD" w:rsidRPr="005B465E" w:rsidRDefault="00507993" w:rsidP="00F073AA">
      <w:pPr>
        <w:jc w:val="both"/>
        <w:rPr>
          <w:b/>
          <w:bCs/>
        </w:rPr>
      </w:pPr>
      <w:r w:rsidRPr="00D95185">
        <w:t xml:space="preserve">Age UK welcomes the </w:t>
      </w:r>
      <w:r w:rsidR="00010B0B" w:rsidRPr="00D95185">
        <w:t>G</w:t>
      </w:r>
      <w:r w:rsidRPr="00D95185">
        <w:t xml:space="preserve">overnment’s decision to make housing </w:t>
      </w:r>
      <w:r w:rsidR="0071219A" w:rsidRPr="00D95185">
        <w:t>one of its key p</w:t>
      </w:r>
      <w:r w:rsidR="00AC2F67" w:rsidRPr="00D95185">
        <w:t xml:space="preserve">olicy </w:t>
      </w:r>
      <w:r w:rsidR="00B7582C" w:rsidRPr="00D95185">
        <w:t>areas</w:t>
      </w:r>
      <w:r w:rsidRPr="00D95185">
        <w:t xml:space="preserve">. </w:t>
      </w:r>
      <w:r w:rsidR="00654F8E" w:rsidRPr="005B465E">
        <w:rPr>
          <w:b/>
          <w:bCs/>
        </w:rPr>
        <w:t>Households headed by someone over the age of 65 are forecast to account for 84% of the growth in households between 2018 and 2043</w:t>
      </w:r>
      <w:r w:rsidR="00010B0B" w:rsidRPr="005B465E">
        <w:rPr>
          <w:b/>
          <w:bCs/>
        </w:rPr>
        <w:t>,</w:t>
      </w:r>
      <w:r w:rsidR="00BB0A70" w:rsidRPr="005B465E">
        <w:rPr>
          <w:b/>
          <w:bCs/>
        </w:rPr>
        <w:t xml:space="preserve"> and </w:t>
      </w:r>
      <w:r w:rsidR="00366C82" w:rsidRPr="005B465E">
        <w:rPr>
          <w:b/>
          <w:bCs/>
        </w:rPr>
        <w:t>we</w:t>
      </w:r>
      <w:r w:rsidR="00010B0B" w:rsidRPr="005B465E">
        <w:rPr>
          <w:b/>
          <w:bCs/>
        </w:rPr>
        <w:t xml:space="preserve"> already</w:t>
      </w:r>
      <w:r w:rsidR="00366C82" w:rsidRPr="005B465E">
        <w:rPr>
          <w:b/>
          <w:bCs/>
        </w:rPr>
        <w:t xml:space="preserve"> have a huge shortage of homes that are suitable for an ageing population</w:t>
      </w:r>
      <w:r w:rsidR="001962A5" w:rsidRPr="005B465E">
        <w:rPr>
          <w:b/>
          <w:bCs/>
        </w:rPr>
        <w:t>.</w:t>
      </w:r>
      <w:r w:rsidR="00057539" w:rsidRPr="005B465E">
        <w:rPr>
          <w:rStyle w:val="EndnoteReference"/>
          <w:b/>
          <w:bCs/>
        </w:rPr>
        <w:endnoteReference w:id="2"/>
      </w:r>
    </w:p>
    <w:p w14:paraId="563877C9" w14:textId="6DA6FCA1" w:rsidR="00FB364F" w:rsidRPr="00D95185" w:rsidRDefault="00FA4548" w:rsidP="00F073AA">
      <w:pPr>
        <w:jc w:val="both"/>
      </w:pPr>
      <w:r w:rsidRPr="005B465E">
        <w:rPr>
          <w:b/>
          <w:bCs/>
        </w:rPr>
        <w:t>Over 90% of older people live in general mainstream ho</w:t>
      </w:r>
      <w:r w:rsidR="00B25818" w:rsidRPr="005B465E">
        <w:rPr>
          <w:b/>
          <w:bCs/>
        </w:rPr>
        <w:t>mes</w:t>
      </w:r>
      <w:r w:rsidRPr="00D95185">
        <w:t xml:space="preserve"> </w:t>
      </w:r>
      <w:r w:rsidR="006C75BD" w:rsidRPr="00D95185">
        <w:t xml:space="preserve">and the quality of their housing is </w:t>
      </w:r>
      <w:r w:rsidR="00B25818" w:rsidRPr="00D95185">
        <w:t>central to their experience of ageing.</w:t>
      </w:r>
      <w:r w:rsidR="00A60817" w:rsidRPr="00526C75">
        <w:rPr>
          <w:rStyle w:val="EndnoteReference"/>
        </w:rPr>
        <w:endnoteReference w:id="3"/>
      </w:r>
      <w:r w:rsidR="00B25818" w:rsidRPr="00D95185">
        <w:t xml:space="preserve"> </w:t>
      </w:r>
    </w:p>
    <w:p w14:paraId="0887C4EF" w14:textId="2E52B2F0" w:rsidR="008A31ED" w:rsidRPr="00D95185" w:rsidRDefault="007752DB" w:rsidP="00F073AA">
      <w:pPr>
        <w:jc w:val="both"/>
      </w:pPr>
      <w:r w:rsidRPr="00D95185">
        <w:t xml:space="preserve">Ensuring that </w:t>
      </w:r>
      <w:r w:rsidR="00874DDF" w:rsidRPr="00D95185">
        <w:t xml:space="preserve">older </w:t>
      </w:r>
      <w:r w:rsidRPr="00D95185">
        <w:t xml:space="preserve">people have access to good housing is </w:t>
      </w:r>
      <w:r w:rsidR="00C81172" w:rsidRPr="00D95185">
        <w:t>key</w:t>
      </w:r>
      <w:r w:rsidRPr="00D95185">
        <w:t xml:space="preserve"> to tackling inequalities. People living in poor conditions have worse health outcomes, are more likely to experience loneliness and isolation</w:t>
      </w:r>
      <w:r w:rsidR="002905AD" w:rsidRPr="00D95185">
        <w:t xml:space="preserve"> and </w:t>
      </w:r>
      <w:r w:rsidR="001D4111" w:rsidRPr="00D95185">
        <w:t xml:space="preserve">within the different tenures, </w:t>
      </w:r>
      <w:r w:rsidR="00CE5B6F" w:rsidRPr="00D95185">
        <w:t>are more likely to live in poverty.</w:t>
      </w:r>
      <w:r w:rsidR="003A0241" w:rsidRPr="007829DD">
        <w:rPr>
          <w:rStyle w:val="EndnoteReference"/>
        </w:rPr>
        <w:endnoteReference w:id="4"/>
      </w:r>
      <w:r w:rsidR="00CE5B6F" w:rsidRPr="00D95185">
        <w:t xml:space="preserve"> </w:t>
      </w:r>
      <w:r w:rsidRPr="00D95185">
        <w:t xml:space="preserve">It is a </w:t>
      </w:r>
      <w:r w:rsidR="00E475AE" w:rsidRPr="00D95185">
        <w:t>two-way</w:t>
      </w:r>
      <w:r w:rsidRPr="00D95185">
        <w:t xml:space="preserve"> relationship. Poverty can lead someone to live in poor </w:t>
      </w:r>
      <w:r w:rsidR="001158FA" w:rsidRPr="00D95185">
        <w:t>housing,</w:t>
      </w:r>
      <w:r w:rsidRPr="00D95185">
        <w:t xml:space="preserve"> but poor housing also perpetuates poverty. </w:t>
      </w:r>
      <w:r w:rsidR="00E93F41" w:rsidRPr="00D95185">
        <w:t xml:space="preserve">Case notes from the Age UK information and advice line </w:t>
      </w:r>
      <w:r w:rsidR="004518D0" w:rsidRPr="00D95185">
        <w:t xml:space="preserve">set out again and again, the issues older people have accessing suitable housing and </w:t>
      </w:r>
      <w:r w:rsidR="005F01CC" w:rsidRPr="00D95185">
        <w:t xml:space="preserve">the extent to which a </w:t>
      </w:r>
      <w:r w:rsidR="003E5594" w:rsidRPr="00D95185">
        <w:t xml:space="preserve">good, </w:t>
      </w:r>
      <w:r w:rsidR="005F01CC" w:rsidRPr="00D95185">
        <w:t xml:space="preserve">stable home underpins </w:t>
      </w:r>
      <w:r w:rsidR="00A013B1" w:rsidRPr="00D95185">
        <w:t xml:space="preserve">a life. </w:t>
      </w:r>
      <w:r w:rsidR="008A31ED" w:rsidRPr="00D95185">
        <w:t>If we are to improve outcomes for older people living on lower incomes, then improving</w:t>
      </w:r>
      <w:r w:rsidR="008F01B3" w:rsidRPr="00D95185">
        <w:t xml:space="preserve"> their</w:t>
      </w:r>
      <w:r w:rsidR="008A31ED" w:rsidRPr="00D95185">
        <w:t xml:space="preserve"> housing is </w:t>
      </w:r>
      <w:r w:rsidR="00C81172" w:rsidRPr="00D95185">
        <w:t xml:space="preserve">absolutely </w:t>
      </w:r>
      <w:r w:rsidR="008F01B3" w:rsidRPr="00D95185">
        <w:t>critical</w:t>
      </w:r>
      <w:r w:rsidR="008A31ED" w:rsidRPr="00D95185">
        <w:t xml:space="preserve">. </w:t>
      </w:r>
    </w:p>
    <w:p w14:paraId="118038B5" w14:textId="6F349E70" w:rsidR="00FA4548" w:rsidRPr="00D95185" w:rsidRDefault="00DE5F0C" w:rsidP="00F073AA">
      <w:pPr>
        <w:jc w:val="both"/>
      </w:pPr>
      <w:r w:rsidRPr="005B465E">
        <w:rPr>
          <w:b/>
          <w:bCs/>
        </w:rPr>
        <w:t>In some areas</w:t>
      </w:r>
      <w:r w:rsidR="00052FCA" w:rsidRPr="005B465E">
        <w:rPr>
          <w:b/>
          <w:bCs/>
        </w:rPr>
        <w:t xml:space="preserve">, </w:t>
      </w:r>
      <w:r w:rsidR="00A77875" w:rsidRPr="005B465E">
        <w:rPr>
          <w:b/>
          <w:bCs/>
        </w:rPr>
        <w:t>substantial</w:t>
      </w:r>
      <w:r w:rsidR="00052FCA" w:rsidRPr="005B465E">
        <w:rPr>
          <w:b/>
          <w:bCs/>
        </w:rPr>
        <w:t xml:space="preserve"> investment is needed but there is </w:t>
      </w:r>
      <w:r w:rsidR="00A77875" w:rsidRPr="005B465E">
        <w:rPr>
          <w:b/>
          <w:bCs/>
        </w:rPr>
        <w:t xml:space="preserve">also </w:t>
      </w:r>
      <w:r w:rsidR="00052FCA" w:rsidRPr="005B465E">
        <w:rPr>
          <w:b/>
          <w:bCs/>
        </w:rPr>
        <w:t>much that can be done without significant extra cost</w:t>
      </w:r>
      <w:r w:rsidR="004C0049" w:rsidRPr="005B465E">
        <w:rPr>
          <w:b/>
          <w:bCs/>
        </w:rPr>
        <w:t>.</w:t>
      </w:r>
      <w:r w:rsidR="004C0049" w:rsidRPr="00D95185">
        <w:t xml:space="preserve"> </w:t>
      </w:r>
      <w:r w:rsidR="00187FBD" w:rsidRPr="00D95185">
        <w:t xml:space="preserve">The </w:t>
      </w:r>
      <w:r w:rsidR="00010B0B" w:rsidRPr="00D95185">
        <w:t>G</w:t>
      </w:r>
      <w:r w:rsidR="00187FBD" w:rsidRPr="00D95185">
        <w:t xml:space="preserve">overnment’s plans to reform the sector and build 1.5 million homes must embed the needs of older people so that opportunities are not missed. </w:t>
      </w:r>
    </w:p>
    <w:p w14:paraId="70F5DD45" w14:textId="6FCB3883" w:rsidR="005236C2" w:rsidRPr="005B465E" w:rsidRDefault="00010B0B" w:rsidP="00F073AA">
      <w:pPr>
        <w:jc w:val="both"/>
        <w:rPr>
          <w:b/>
          <w:bCs/>
        </w:rPr>
      </w:pPr>
      <w:r w:rsidRPr="005B465E">
        <w:rPr>
          <w:b/>
          <w:bCs/>
        </w:rPr>
        <w:t>Political and policy d</w:t>
      </w:r>
      <w:r w:rsidR="005236C2" w:rsidRPr="005B465E">
        <w:rPr>
          <w:b/>
          <w:bCs/>
        </w:rPr>
        <w:t xml:space="preserve">iscussion about older people’s housing is often limited to providing more specialist housing and encouraging more people to downsize. </w:t>
      </w:r>
      <w:r w:rsidR="00234128" w:rsidRPr="005B465E">
        <w:rPr>
          <w:b/>
          <w:bCs/>
        </w:rPr>
        <w:t xml:space="preserve">Both have </w:t>
      </w:r>
      <w:r w:rsidR="00920FBB" w:rsidRPr="005B465E">
        <w:rPr>
          <w:b/>
          <w:bCs/>
        </w:rPr>
        <w:t xml:space="preserve">an </w:t>
      </w:r>
      <w:r w:rsidR="00435B56" w:rsidRPr="005B465E">
        <w:rPr>
          <w:b/>
          <w:bCs/>
        </w:rPr>
        <w:t xml:space="preserve">important part </w:t>
      </w:r>
      <w:r w:rsidR="00234128" w:rsidRPr="005B465E">
        <w:rPr>
          <w:b/>
          <w:bCs/>
        </w:rPr>
        <w:t>to play</w:t>
      </w:r>
      <w:r w:rsidRPr="005B465E">
        <w:rPr>
          <w:b/>
          <w:bCs/>
        </w:rPr>
        <w:t>,</w:t>
      </w:r>
      <w:r w:rsidR="00234128" w:rsidRPr="005B465E">
        <w:rPr>
          <w:b/>
          <w:bCs/>
        </w:rPr>
        <w:t xml:space="preserve"> but </w:t>
      </w:r>
      <w:r w:rsidR="0023762E" w:rsidRPr="005B465E">
        <w:rPr>
          <w:b/>
          <w:bCs/>
        </w:rPr>
        <w:t xml:space="preserve">specialist housing will only ever accommodate a small minority of older people and </w:t>
      </w:r>
      <w:r w:rsidR="005236C2" w:rsidRPr="005B465E">
        <w:rPr>
          <w:b/>
          <w:bCs/>
        </w:rPr>
        <w:t>a decision to downsize</w:t>
      </w:r>
      <w:r w:rsidR="000E3BE4" w:rsidRPr="005B465E">
        <w:rPr>
          <w:b/>
          <w:bCs/>
        </w:rPr>
        <w:t xml:space="preserve"> or </w:t>
      </w:r>
      <w:r w:rsidR="00F14B04" w:rsidRPr="005B465E">
        <w:rPr>
          <w:b/>
          <w:bCs/>
        </w:rPr>
        <w:t>right size</w:t>
      </w:r>
      <w:r w:rsidR="000E3BE4" w:rsidRPr="005B465E">
        <w:rPr>
          <w:b/>
          <w:bCs/>
        </w:rPr>
        <w:t xml:space="preserve"> </w:t>
      </w:r>
      <w:r w:rsidR="005236C2" w:rsidRPr="005B465E">
        <w:rPr>
          <w:b/>
          <w:bCs/>
        </w:rPr>
        <w:t>is much more complicated tha</w:t>
      </w:r>
      <w:r w:rsidR="001251DC" w:rsidRPr="005B465E">
        <w:rPr>
          <w:b/>
          <w:bCs/>
        </w:rPr>
        <w:t>n</w:t>
      </w:r>
      <w:r w:rsidR="005236C2" w:rsidRPr="005B465E">
        <w:rPr>
          <w:b/>
          <w:bCs/>
        </w:rPr>
        <w:t xml:space="preserve"> often assumed. </w:t>
      </w:r>
      <w:r w:rsidR="008A14E7" w:rsidRPr="005B465E">
        <w:rPr>
          <w:b/>
          <w:bCs/>
        </w:rPr>
        <w:t>Contrary to much commentary, a substantial proportion of the older population already move</w:t>
      </w:r>
      <w:r w:rsidR="00F174C3" w:rsidRPr="005B465E">
        <w:rPr>
          <w:b/>
          <w:bCs/>
        </w:rPr>
        <w:t>s</w:t>
      </w:r>
      <w:r w:rsidR="008A14E7" w:rsidRPr="005B465E">
        <w:rPr>
          <w:b/>
          <w:bCs/>
        </w:rPr>
        <w:t xml:space="preserve"> home</w:t>
      </w:r>
      <w:r w:rsidR="00455E98" w:rsidRPr="005B465E">
        <w:rPr>
          <w:b/>
          <w:bCs/>
        </w:rPr>
        <w:t xml:space="preserve"> </w:t>
      </w:r>
      <w:r w:rsidR="00C242AB" w:rsidRPr="005B465E">
        <w:rPr>
          <w:b/>
          <w:bCs/>
        </w:rPr>
        <w:t xml:space="preserve">and getting more to do </w:t>
      </w:r>
      <w:r w:rsidR="00713BAD" w:rsidRPr="005B465E">
        <w:rPr>
          <w:b/>
          <w:bCs/>
        </w:rPr>
        <w:t xml:space="preserve">so </w:t>
      </w:r>
      <w:r w:rsidR="00C242AB" w:rsidRPr="005B465E">
        <w:rPr>
          <w:b/>
          <w:bCs/>
        </w:rPr>
        <w:t xml:space="preserve">is challenging. </w:t>
      </w:r>
      <w:r w:rsidR="00971A78" w:rsidRPr="005B465E">
        <w:rPr>
          <w:b/>
          <w:bCs/>
        </w:rPr>
        <w:t>Many</w:t>
      </w:r>
      <w:r w:rsidR="00C24A61" w:rsidRPr="005B465E">
        <w:rPr>
          <w:b/>
          <w:bCs/>
        </w:rPr>
        <w:t xml:space="preserve"> will choose to age in place. </w:t>
      </w:r>
    </w:p>
    <w:p w14:paraId="4A723444" w14:textId="5B8163C1" w:rsidR="009B23C0" w:rsidRPr="00D95185" w:rsidRDefault="00FE6E29" w:rsidP="00F073AA">
      <w:pPr>
        <w:jc w:val="both"/>
      </w:pPr>
      <w:r w:rsidRPr="00D95185">
        <w:t xml:space="preserve">At the same time </w:t>
      </w:r>
      <w:r w:rsidR="001D766E" w:rsidRPr="00D95185">
        <w:t xml:space="preserve">conditions across different tenures </w:t>
      </w:r>
      <w:r w:rsidR="005622DD" w:rsidRPr="00D95185">
        <w:t xml:space="preserve">and </w:t>
      </w:r>
      <w:r w:rsidR="001D766E" w:rsidRPr="00D95185">
        <w:t xml:space="preserve">for </w:t>
      </w:r>
      <w:proofErr w:type="gramStart"/>
      <w:r w:rsidR="001D766E" w:rsidRPr="00D95185">
        <w:t>particular socio-economic</w:t>
      </w:r>
      <w:proofErr w:type="gramEnd"/>
      <w:r w:rsidR="001D766E" w:rsidRPr="00D95185">
        <w:t xml:space="preserve"> groups var</w:t>
      </w:r>
      <w:r w:rsidR="00F756DB" w:rsidRPr="00D95185">
        <w:t>y</w:t>
      </w:r>
      <w:r w:rsidR="001D766E" w:rsidRPr="00D95185">
        <w:t xml:space="preserve"> substantially</w:t>
      </w:r>
      <w:r w:rsidR="00A02CC9" w:rsidRPr="00D95185">
        <w:t xml:space="preserve">. </w:t>
      </w:r>
      <w:r w:rsidR="003F001E" w:rsidRPr="00D95185">
        <w:t>Over 50% of renters aged between 45 and 64 have no savings and many will struggle to afford their rent in retirement.</w:t>
      </w:r>
      <w:r w:rsidR="003F001E" w:rsidRPr="007829DD">
        <w:rPr>
          <w:rStyle w:val="EndnoteReference"/>
        </w:rPr>
        <w:endnoteReference w:id="5"/>
      </w:r>
      <w:r w:rsidR="003F001E" w:rsidRPr="00D95185">
        <w:t xml:space="preserve"> </w:t>
      </w:r>
      <w:r w:rsidR="004925A3" w:rsidRPr="00D95185">
        <w:t>70% of renters over the age of 65 say that they would find it difficult to find a new property if they had to move.</w:t>
      </w:r>
      <w:r w:rsidR="004925A3" w:rsidRPr="007829DD">
        <w:rPr>
          <w:rStyle w:val="EndnoteReference"/>
        </w:rPr>
        <w:endnoteReference w:id="6"/>
      </w:r>
      <w:r w:rsidR="004925A3" w:rsidRPr="00D95185">
        <w:t xml:space="preserve"> </w:t>
      </w:r>
      <w:r w:rsidR="00ED56FB" w:rsidRPr="00D95185">
        <w:t xml:space="preserve">1.35 million households </w:t>
      </w:r>
      <w:r w:rsidR="00103749" w:rsidRPr="00D95185">
        <w:t xml:space="preserve">headed by </w:t>
      </w:r>
      <w:r w:rsidR="00AA36A8" w:rsidRPr="00D95185">
        <w:t>homeowners</w:t>
      </w:r>
      <w:r w:rsidR="00103749" w:rsidRPr="00D95185">
        <w:t xml:space="preserve"> over the age of 55 are classified as non-decent and </w:t>
      </w:r>
      <w:r w:rsidR="005622DD" w:rsidRPr="00D95185">
        <w:t xml:space="preserve">50% of homeowners </w:t>
      </w:r>
      <w:r w:rsidR="00103749" w:rsidRPr="00D95185">
        <w:t xml:space="preserve">aged 50 to 70 </w:t>
      </w:r>
      <w:r w:rsidR="005622DD" w:rsidRPr="00D95185">
        <w:t xml:space="preserve">say they are unable to afford </w:t>
      </w:r>
      <w:r w:rsidR="00D27FCF" w:rsidRPr="00D95185">
        <w:t xml:space="preserve">priority </w:t>
      </w:r>
      <w:r w:rsidR="005622DD" w:rsidRPr="00D95185">
        <w:t>repairs and maintenance</w:t>
      </w:r>
      <w:r w:rsidR="00103749" w:rsidRPr="00D95185">
        <w:t>.</w:t>
      </w:r>
      <w:r w:rsidR="00FC5826" w:rsidRPr="007829DD">
        <w:rPr>
          <w:rStyle w:val="EndnoteReference"/>
        </w:rPr>
        <w:endnoteReference w:id="7"/>
      </w:r>
      <w:r w:rsidR="00BC45C7" w:rsidRPr="007829DD">
        <w:rPr>
          <w:rStyle w:val="EndnoteReference"/>
        </w:rPr>
        <w:t xml:space="preserve"> </w:t>
      </w:r>
      <w:r w:rsidR="00BC45C7" w:rsidRPr="00D95185">
        <w:t xml:space="preserve">Only </w:t>
      </w:r>
      <w:r w:rsidR="005622DD" w:rsidRPr="00D95185">
        <w:t>1</w:t>
      </w:r>
      <w:r w:rsidR="00121898" w:rsidRPr="00D95185">
        <w:t>2</w:t>
      </w:r>
      <w:r w:rsidR="005622DD" w:rsidRPr="00D95185">
        <w:t xml:space="preserve">% of older </w:t>
      </w:r>
      <w:r w:rsidR="003E17FE" w:rsidRPr="00D95185">
        <w:t>people</w:t>
      </w:r>
      <w:r w:rsidR="005622DD" w:rsidRPr="00D95185">
        <w:t xml:space="preserve"> </w:t>
      </w:r>
      <w:r w:rsidR="007C0D27" w:rsidRPr="00D95185">
        <w:t xml:space="preserve">in all tenures </w:t>
      </w:r>
      <w:r w:rsidR="005622DD" w:rsidRPr="00D95185">
        <w:t xml:space="preserve">have </w:t>
      </w:r>
      <w:r w:rsidR="00121898" w:rsidRPr="00D95185">
        <w:t>a home with</w:t>
      </w:r>
      <w:r w:rsidR="00095FA8" w:rsidRPr="00D95185">
        <w:t>out</w:t>
      </w:r>
      <w:r w:rsidR="00121898" w:rsidRPr="00D95185">
        <w:t xml:space="preserve"> steps up to the </w:t>
      </w:r>
      <w:r w:rsidR="001E6EA5" w:rsidRPr="00D95185">
        <w:t>main entrance</w:t>
      </w:r>
      <w:r w:rsidR="005622DD" w:rsidRPr="00D95185">
        <w:t>.</w:t>
      </w:r>
      <w:r w:rsidR="00056646" w:rsidRPr="007829DD">
        <w:rPr>
          <w:rStyle w:val="EndnoteReference"/>
        </w:rPr>
        <w:endnoteReference w:id="8"/>
      </w:r>
      <w:r w:rsidR="005622DD" w:rsidRPr="007829DD">
        <w:rPr>
          <w:rStyle w:val="EndnoteReference"/>
        </w:rPr>
        <w:t xml:space="preserve"> </w:t>
      </w:r>
    </w:p>
    <w:p w14:paraId="4C0A5E80" w14:textId="1F5929D4" w:rsidR="00393EF5" w:rsidRPr="00D95185" w:rsidRDefault="00D336DE" w:rsidP="00F073AA">
      <w:pPr>
        <w:jc w:val="both"/>
      </w:pPr>
      <w:r w:rsidRPr="00D95185">
        <w:t xml:space="preserve">Different demographic </w:t>
      </w:r>
      <w:r w:rsidR="009B23C0" w:rsidRPr="00D95185">
        <w:t xml:space="preserve">groups </w:t>
      </w:r>
      <w:r w:rsidR="00B6725C" w:rsidRPr="00D95185">
        <w:t xml:space="preserve">are more likely to face particular challenges. </w:t>
      </w:r>
      <w:r w:rsidR="00EE5C1A" w:rsidRPr="00D95185">
        <w:t>14% of people aged 50 to 69 from black ethnic backgrounds own a home outright compared to an average of 43% for all ethnic groups in England and Wales.</w:t>
      </w:r>
      <w:r w:rsidR="00EE5C1A" w:rsidRPr="007829DD">
        <w:rPr>
          <w:rStyle w:val="EndnoteReference"/>
        </w:rPr>
        <w:endnoteReference w:id="9"/>
      </w:r>
      <w:r w:rsidR="00EE5C1A" w:rsidRPr="00D95185">
        <w:t xml:space="preserve"> </w:t>
      </w:r>
      <w:r w:rsidR="0091451F" w:rsidRPr="00D95185">
        <w:t>W</w:t>
      </w:r>
      <w:r w:rsidR="003D5F13" w:rsidRPr="00D95185">
        <w:t xml:space="preserve">omen </w:t>
      </w:r>
      <w:r w:rsidR="0091451F" w:rsidRPr="00D95185">
        <w:t xml:space="preserve">over the age of 65 </w:t>
      </w:r>
      <w:r w:rsidR="003D5F13" w:rsidRPr="00D95185">
        <w:lastRenderedPageBreak/>
        <w:t>are</w:t>
      </w:r>
      <w:r w:rsidR="0091451F" w:rsidRPr="00D95185">
        <w:t xml:space="preserve"> over </w:t>
      </w:r>
      <w:r w:rsidR="003D5F13" w:rsidRPr="00D95185">
        <w:t>1.5 times more likely to live alone than men</w:t>
      </w:r>
      <w:r w:rsidR="004B03C4" w:rsidRPr="00D95185">
        <w:t>.</w:t>
      </w:r>
      <w:r w:rsidR="00701E92" w:rsidRPr="007829DD">
        <w:rPr>
          <w:rStyle w:val="EndnoteReference"/>
        </w:rPr>
        <w:endnoteReference w:id="10"/>
      </w:r>
      <w:r w:rsidR="004B03C4" w:rsidRPr="00D95185">
        <w:t xml:space="preserve"> </w:t>
      </w:r>
      <w:r w:rsidR="00AA798D" w:rsidRPr="00D95185">
        <w:t>In 2022/2023 a</w:t>
      </w:r>
      <w:r w:rsidR="00973C15" w:rsidRPr="00D95185">
        <w:t xml:space="preserve"> third of wheelchair users in the social sector were placed in homes which were not accessible or adapted for wheelchair use.</w:t>
      </w:r>
      <w:r w:rsidR="00973C15" w:rsidRPr="007829DD">
        <w:rPr>
          <w:rStyle w:val="EndnoteReference"/>
        </w:rPr>
        <w:endnoteReference w:id="11"/>
      </w:r>
      <w:r w:rsidR="003D72D7" w:rsidRPr="007829DD">
        <w:rPr>
          <w:rStyle w:val="EndnoteReference"/>
        </w:rPr>
        <w:t xml:space="preserve"> </w:t>
      </w:r>
    </w:p>
    <w:p w14:paraId="70EC62A1" w14:textId="21C9B8F2" w:rsidR="002649BE" w:rsidRPr="00D95185" w:rsidRDefault="003C4C66" w:rsidP="00F073AA">
      <w:pPr>
        <w:jc w:val="both"/>
      </w:pPr>
      <w:r w:rsidRPr="00D95185">
        <w:t>Affordability, secur</w:t>
      </w:r>
      <w:r w:rsidR="00963179" w:rsidRPr="00D95185">
        <w:t>ity of tenure</w:t>
      </w:r>
      <w:r w:rsidR="00642841" w:rsidRPr="00D95185">
        <w:t xml:space="preserve">, </w:t>
      </w:r>
      <w:r w:rsidR="00EF1B29" w:rsidRPr="00D95185">
        <w:t xml:space="preserve">condition, </w:t>
      </w:r>
      <w:r w:rsidR="00642841" w:rsidRPr="00D95185">
        <w:t xml:space="preserve">access to adaptations </w:t>
      </w:r>
      <w:r w:rsidR="00F8725E" w:rsidRPr="00D95185">
        <w:t>and the struct</w:t>
      </w:r>
      <w:r w:rsidR="00BF100C" w:rsidRPr="00D95185">
        <w:t>u</w:t>
      </w:r>
      <w:r w:rsidR="00F8725E" w:rsidRPr="00D95185">
        <w:t xml:space="preserve">ral accessibility of </w:t>
      </w:r>
      <w:r w:rsidR="00B21DCA" w:rsidRPr="00D95185">
        <w:t>mainstream</w:t>
      </w:r>
      <w:r w:rsidR="00F8725E" w:rsidRPr="00D95185">
        <w:t xml:space="preserve"> home</w:t>
      </w:r>
      <w:r w:rsidR="00B21DCA" w:rsidRPr="00D95185">
        <w:t>s</w:t>
      </w:r>
      <w:r w:rsidR="00F8725E" w:rsidRPr="00D95185">
        <w:t xml:space="preserve"> impact </w:t>
      </w:r>
      <w:r w:rsidR="00B21DCA" w:rsidRPr="00D95185">
        <w:t xml:space="preserve">older </w:t>
      </w:r>
      <w:r w:rsidR="00F8725E" w:rsidRPr="00D95185">
        <w:t xml:space="preserve">people’s </w:t>
      </w:r>
      <w:r w:rsidR="00BF100C" w:rsidRPr="00D95185">
        <w:t>daily lives</w:t>
      </w:r>
      <w:r w:rsidR="001207C5" w:rsidRPr="00D95185">
        <w:t xml:space="preserve">. </w:t>
      </w:r>
      <w:r w:rsidR="002649BE" w:rsidRPr="00D95185">
        <w:t>We need to thin</w:t>
      </w:r>
      <w:r w:rsidR="00211599" w:rsidRPr="00D95185">
        <w:t>k about</w:t>
      </w:r>
      <w:r w:rsidR="002649BE" w:rsidRPr="00D95185">
        <w:t xml:space="preserve"> the different demographic groups that make up the older population in more detail</w:t>
      </w:r>
      <w:r w:rsidR="00211599" w:rsidRPr="00D95185">
        <w:t>, lookin</w:t>
      </w:r>
      <w:r w:rsidR="00EC566D" w:rsidRPr="00D95185">
        <w:t xml:space="preserve">g beyond </w:t>
      </w:r>
      <w:r w:rsidR="00211599" w:rsidRPr="00D95185">
        <w:t>specialist development and downs</w:t>
      </w:r>
      <w:r w:rsidR="002A0855" w:rsidRPr="00D95185">
        <w:t>izing,</w:t>
      </w:r>
      <w:r w:rsidR="002649BE" w:rsidRPr="00D95185">
        <w:t xml:space="preserve"> and develop a strategy </w:t>
      </w:r>
      <w:r w:rsidR="001A3B5B" w:rsidRPr="00D95185">
        <w:t xml:space="preserve">encompassing all these elements </w:t>
      </w:r>
      <w:r w:rsidR="002649BE" w:rsidRPr="00D95185">
        <w:t>which address their needs</w:t>
      </w:r>
      <w:r w:rsidR="002A0855" w:rsidRPr="00D95185">
        <w:t xml:space="preserve">. </w:t>
      </w:r>
    </w:p>
    <w:p w14:paraId="0A05421D" w14:textId="77777777" w:rsidR="002A3901" w:rsidRPr="00D95185" w:rsidRDefault="002649BE" w:rsidP="00F073AA">
      <w:pPr>
        <w:jc w:val="both"/>
      </w:pPr>
      <w:r w:rsidRPr="00D95185">
        <w:t>We need to make sure that a strategy addresses the broad spectrum of older people from those living full, active lives to those who need housing with care</w:t>
      </w:r>
      <w:r w:rsidR="002A0855" w:rsidRPr="00D95185">
        <w:t xml:space="preserve">, recognising that decisions people make when younger play out in old age. </w:t>
      </w:r>
    </w:p>
    <w:p w14:paraId="1A43B3A4" w14:textId="7AEE425B" w:rsidR="00CD584C" w:rsidRPr="00D95185" w:rsidRDefault="002649BE" w:rsidP="00F073AA">
      <w:pPr>
        <w:jc w:val="both"/>
      </w:pPr>
      <w:r w:rsidRPr="00D95185">
        <w:t>Failing to do so will put further pressure on stretched social care, NHS and other resources</w:t>
      </w:r>
      <w:r w:rsidR="00A97039" w:rsidRPr="00D95185">
        <w:t xml:space="preserve">. </w:t>
      </w:r>
    </w:p>
    <w:p w14:paraId="2C284537" w14:textId="12FC5911" w:rsidR="009B04B6" w:rsidRDefault="00D95185" w:rsidP="00F073AA">
      <w:pPr>
        <w:pStyle w:val="Heading1"/>
        <w:jc w:val="both"/>
      </w:pPr>
      <w:r w:rsidRPr="001C4FC3">
        <w:t xml:space="preserve">Factors to underpin policy discussion </w:t>
      </w:r>
    </w:p>
    <w:p w14:paraId="5B50190D" w14:textId="6D2208DC" w:rsidR="00AD24C1" w:rsidRDefault="00AD24C1" w:rsidP="00F073AA">
      <w:pPr>
        <w:pStyle w:val="ListParagraph"/>
        <w:numPr>
          <w:ilvl w:val="0"/>
          <w:numId w:val="6"/>
        </w:numPr>
        <w:jc w:val="both"/>
      </w:pPr>
      <w:r w:rsidRPr="005B465E">
        <w:rPr>
          <w:b/>
          <w:bCs/>
        </w:rPr>
        <w:t>Households headed by someone over the age of 65 are forecast to account for 84% of the growth in households between 2018 and 2043</w:t>
      </w:r>
      <w:r w:rsidRPr="001C4FC3">
        <w:t>.</w:t>
      </w:r>
      <w:r w:rsidRPr="001C4FC3">
        <w:rPr>
          <w:vertAlign w:val="superscript"/>
        </w:rPr>
        <w:endnoteReference w:id="12"/>
      </w:r>
      <w:r w:rsidRPr="001C4FC3">
        <w:t xml:space="preserve"> </w:t>
      </w:r>
    </w:p>
    <w:p w14:paraId="3DFE8930" w14:textId="77777777" w:rsidR="00F073AA" w:rsidRDefault="00F073AA" w:rsidP="00F073AA">
      <w:pPr>
        <w:pStyle w:val="ListParagraph"/>
        <w:jc w:val="both"/>
      </w:pPr>
    </w:p>
    <w:p w14:paraId="27DF3552" w14:textId="65710D60" w:rsidR="00F073AA" w:rsidRDefault="008A31ED" w:rsidP="00F073AA">
      <w:pPr>
        <w:pStyle w:val="ListParagraph"/>
        <w:numPr>
          <w:ilvl w:val="0"/>
          <w:numId w:val="6"/>
        </w:numPr>
        <w:jc w:val="both"/>
      </w:pPr>
      <w:r w:rsidRPr="005B465E">
        <w:rPr>
          <w:b/>
          <w:bCs/>
        </w:rPr>
        <w:t>9</w:t>
      </w:r>
      <w:r w:rsidR="00AE470F" w:rsidRPr="005B465E">
        <w:rPr>
          <w:b/>
          <w:bCs/>
        </w:rPr>
        <w:t>1</w:t>
      </w:r>
      <w:r w:rsidRPr="005B465E">
        <w:rPr>
          <w:b/>
          <w:bCs/>
        </w:rPr>
        <w:t>% of people over the age of 65 live in mainstream housing</w:t>
      </w:r>
      <w:r w:rsidRPr="00D83381">
        <w:t>.</w:t>
      </w:r>
      <w:r w:rsidR="003A0241" w:rsidRPr="00D83381">
        <w:rPr>
          <w:rStyle w:val="EndnoteReference"/>
          <w:rFonts w:ascii="Arial" w:hAnsi="Arial" w:cs="Arial"/>
        </w:rPr>
        <w:endnoteReference w:id="13"/>
      </w:r>
      <w:r w:rsidRPr="00D83381">
        <w:t xml:space="preserve"> </w:t>
      </w:r>
    </w:p>
    <w:p w14:paraId="07F046F7" w14:textId="77777777" w:rsidR="00F073AA" w:rsidRPr="00D83381" w:rsidRDefault="00F073AA" w:rsidP="00F073AA">
      <w:pPr>
        <w:pStyle w:val="ListParagraph"/>
        <w:jc w:val="both"/>
      </w:pPr>
    </w:p>
    <w:p w14:paraId="5378CBA0" w14:textId="5D21064D" w:rsidR="00F073AA" w:rsidRDefault="00AD24C1" w:rsidP="00F073AA">
      <w:pPr>
        <w:pStyle w:val="ListParagraph"/>
        <w:numPr>
          <w:ilvl w:val="0"/>
          <w:numId w:val="6"/>
        </w:numPr>
        <w:jc w:val="both"/>
      </w:pPr>
      <w:r w:rsidRPr="001C4FC3">
        <w:t>Good housing is key to an older person’s well</w:t>
      </w:r>
      <w:r w:rsidR="001A1AE8" w:rsidRPr="001C4FC3">
        <w:t>-</w:t>
      </w:r>
      <w:r w:rsidRPr="001C4FC3">
        <w:t>being but also to the cost of caring for an ageing population. There have been lots of attempts to quantify the financial cost of a decent</w:t>
      </w:r>
      <w:r w:rsidR="00CA4121">
        <w:t>, stable,</w:t>
      </w:r>
      <w:r w:rsidRPr="001C4FC3">
        <w:t xml:space="preserve"> accessible home and</w:t>
      </w:r>
      <w:r w:rsidR="00112ECF" w:rsidRPr="001C4FC3">
        <w:t xml:space="preserve"> a good environment</w:t>
      </w:r>
      <w:r w:rsidRPr="001C4FC3">
        <w:t>. It is very difficult to put numbers on the benefit</w:t>
      </w:r>
      <w:r w:rsidR="002A51E6" w:rsidRPr="001C4FC3">
        <w:t xml:space="preserve"> </w:t>
      </w:r>
      <w:r w:rsidR="00050223" w:rsidRPr="001C4FC3">
        <w:t>to social care, the NHS and other resou</w:t>
      </w:r>
      <w:r w:rsidR="007D196C" w:rsidRPr="001C4FC3">
        <w:t>rces</w:t>
      </w:r>
      <w:r w:rsidR="00CB2197" w:rsidRPr="001C4FC3">
        <w:t>,</w:t>
      </w:r>
      <w:r w:rsidRPr="001C4FC3">
        <w:t xml:space="preserve"> but we know they exist. </w:t>
      </w:r>
      <w:r w:rsidR="00B91763" w:rsidRPr="00D95185">
        <w:rPr>
          <w:b/>
          <w:bCs/>
        </w:rPr>
        <w:t>One aspect of cost saving that isn’t often discussed i</w:t>
      </w:r>
      <w:r w:rsidR="00AB7288" w:rsidRPr="00D95185">
        <w:rPr>
          <w:b/>
          <w:bCs/>
        </w:rPr>
        <w:t>s the extent to which good</w:t>
      </w:r>
      <w:r w:rsidR="004B7329" w:rsidRPr="00D95185">
        <w:rPr>
          <w:b/>
          <w:bCs/>
        </w:rPr>
        <w:t xml:space="preserve"> </w:t>
      </w:r>
      <w:r w:rsidR="00AB7288" w:rsidRPr="00D95185">
        <w:rPr>
          <w:b/>
          <w:bCs/>
        </w:rPr>
        <w:t xml:space="preserve">housing sustains unpaid care. </w:t>
      </w:r>
      <w:r w:rsidRPr="00D95185">
        <w:rPr>
          <w:b/>
          <w:bCs/>
        </w:rPr>
        <w:t xml:space="preserve">It is much easier to help a family member or friend </w:t>
      </w:r>
      <w:r w:rsidR="0091402B" w:rsidRPr="00D95185">
        <w:rPr>
          <w:b/>
          <w:bCs/>
        </w:rPr>
        <w:t xml:space="preserve">with the odd task </w:t>
      </w:r>
      <w:r w:rsidRPr="00D95185">
        <w:rPr>
          <w:b/>
          <w:bCs/>
        </w:rPr>
        <w:t>once a day</w:t>
      </w:r>
      <w:r w:rsidR="00AB7288" w:rsidRPr="00D95185">
        <w:rPr>
          <w:b/>
          <w:bCs/>
        </w:rPr>
        <w:t>,</w:t>
      </w:r>
      <w:r w:rsidRPr="00D95185">
        <w:rPr>
          <w:b/>
          <w:bCs/>
        </w:rPr>
        <w:t xml:space="preserve"> than</w:t>
      </w:r>
      <w:r w:rsidR="00AB7288" w:rsidRPr="00D95185">
        <w:rPr>
          <w:b/>
          <w:bCs/>
        </w:rPr>
        <w:t xml:space="preserve"> </w:t>
      </w:r>
      <w:r w:rsidRPr="00D95185">
        <w:rPr>
          <w:b/>
          <w:bCs/>
        </w:rPr>
        <w:t xml:space="preserve">go morning and evening to help </w:t>
      </w:r>
      <w:r w:rsidR="004B7C86" w:rsidRPr="00D95185">
        <w:rPr>
          <w:b/>
          <w:bCs/>
        </w:rPr>
        <w:t xml:space="preserve">someone </w:t>
      </w:r>
      <w:r w:rsidR="00943A63" w:rsidRPr="00D95185">
        <w:rPr>
          <w:b/>
          <w:bCs/>
        </w:rPr>
        <w:t>get in and out of a bath</w:t>
      </w:r>
      <w:r w:rsidRPr="00D95185">
        <w:rPr>
          <w:b/>
          <w:bCs/>
        </w:rPr>
        <w:t xml:space="preserve">, </w:t>
      </w:r>
      <w:r w:rsidR="00941E28" w:rsidRPr="00D95185">
        <w:rPr>
          <w:b/>
          <w:bCs/>
        </w:rPr>
        <w:t>climb</w:t>
      </w:r>
      <w:r w:rsidRPr="00D95185">
        <w:rPr>
          <w:b/>
          <w:bCs/>
        </w:rPr>
        <w:t xml:space="preserve"> stairs</w:t>
      </w:r>
      <w:r w:rsidR="00134535" w:rsidRPr="00D95185">
        <w:rPr>
          <w:b/>
          <w:bCs/>
        </w:rPr>
        <w:t xml:space="preserve"> and </w:t>
      </w:r>
      <w:r w:rsidR="00137B38" w:rsidRPr="00D95185">
        <w:rPr>
          <w:b/>
          <w:bCs/>
        </w:rPr>
        <w:t>cook meals</w:t>
      </w:r>
      <w:r w:rsidRPr="00D95185">
        <w:rPr>
          <w:b/>
          <w:bCs/>
        </w:rPr>
        <w:t>. The value of unpaid care is estimated at £162bn pa.</w:t>
      </w:r>
      <w:r w:rsidRPr="001C4FC3">
        <w:rPr>
          <w:b/>
          <w:bCs/>
          <w:vertAlign w:val="superscript"/>
        </w:rPr>
        <w:endnoteReference w:id="14"/>
      </w:r>
      <w:r w:rsidRPr="00D95185">
        <w:rPr>
          <w:b/>
          <w:bCs/>
        </w:rPr>
        <w:t xml:space="preserve"> </w:t>
      </w:r>
    </w:p>
    <w:p w14:paraId="5B833443" w14:textId="77777777" w:rsidR="00F073AA" w:rsidRPr="005A247D" w:rsidRDefault="00F073AA" w:rsidP="00F073AA">
      <w:pPr>
        <w:pStyle w:val="ListParagraph"/>
        <w:jc w:val="both"/>
      </w:pPr>
    </w:p>
    <w:p w14:paraId="53154D77" w14:textId="182BFFDE" w:rsidR="00F073AA" w:rsidRDefault="00D60668" w:rsidP="00F073AA">
      <w:pPr>
        <w:pStyle w:val="ListParagraph"/>
        <w:numPr>
          <w:ilvl w:val="0"/>
          <w:numId w:val="6"/>
        </w:numPr>
        <w:jc w:val="both"/>
      </w:pPr>
      <w:r w:rsidRPr="001C4FC3">
        <w:t>Failure to provide good</w:t>
      </w:r>
      <w:r w:rsidR="008A31ED">
        <w:t xml:space="preserve"> quality, adaptable and accessible</w:t>
      </w:r>
      <w:r w:rsidRPr="001C4FC3">
        <w:t xml:space="preserve"> housing for an ageing population is storing up financial and social problems for the future. Ultimately this cost will fall on </w:t>
      </w:r>
      <w:r w:rsidR="008A31ED">
        <w:t>the</w:t>
      </w:r>
      <w:r w:rsidR="008A31ED" w:rsidRPr="001C4FC3">
        <w:t xml:space="preserve"> </w:t>
      </w:r>
      <w:r w:rsidRPr="001C4FC3">
        <w:t>working population</w:t>
      </w:r>
      <w:r w:rsidR="00CF3BC9">
        <w:t xml:space="preserve"> and so</w:t>
      </w:r>
      <w:r w:rsidR="00C570C5">
        <w:t xml:space="preserve"> making sure that the homes we build work for </w:t>
      </w:r>
      <w:r w:rsidR="002B5647">
        <w:t xml:space="preserve">older people is important for all generations. </w:t>
      </w:r>
    </w:p>
    <w:p w14:paraId="0FF55D9F" w14:textId="77777777" w:rsidR="00F073AA" w:rsidRPr="002B5647" w:rsidRDefault="00F073AA" w:rsidP="00F073AA">
      <w:pPr>
        <w:pStyle w:val="ListParagraph"/>
        <w:jc w:val="both"/>
      </w:pPr>
    </w:p>
    <w:p w14:paraId="054BC1D3" w14:textId="5E8BE8E1" w:rsidR="00F073AA" w:rsidRPr="00F073AA" w:rsidRDefault="007B004A" w:rsidP="00F073AA">
      <w:pPr>
        <w:pStyle w:val="ListParagraph"/>
        <w:numPr>
          <w:ilvl w:val="0"/>
          <w:numId w:val="6"/>
        </w:numPr>
        <w:jc w:val="both"/>
      </w:pPr>
      <w:r w:rsidRPr="00A11487">
        <w:t xml:space="preserve">Discussion about older people’s housing is often limited to the need for more specialist housing (care homes, retirement living, homes specifically designed for older people) and </w:t>
      </w:r>
      <w:r w:rsidR="00E9490B">
        <w:t xml:space="preserve">encouraging older people to </w:t>
      </w:r>
      <w:r w:rsidRPr="00A11487">
        <w:t>downs</w:t>
      </w:r>
      <w:r w:rsidR="00E9490B">
        <w:t>ize</w:t>
      </w:r>
      <w:r w:rsidRPr="00A11487">
        <w:t>.</w:t>
      </w:r>
      <w:r w:rsidR="00D8487F" w:rsidRPr="00A11487">
        <w:t xml:space="preserve"> Both have a role to play but the </w:t>
      </w:r>
      <w:r w:rsidR="00442B4A" w:rsidRPr="00A11487">
        <w:t>vast majority of older people live – and want to live – in mainstream housing and downsizing is much more complicated in practice than theory.</w:t>
      </w:r>
      <w:r w:rsidR="00442B4A" w:rsidRPr="00D95185">
        <w:rPr>
          <w:b/>
          <w:bCs/>
        </w:rPr>
        <w:t xml:space="preserve"> </w:t>
      </w:r>
      <w:r w:rsidR="00950524" w:rsidRPr="00D95185">
        <w:rPr>
          <w:b/>
          <w:bCs/>
        </w:rPr>
        <w:t xml:space="preserve">Some documents and </w:t>
      </w:r>
      <w:r w:rsidR="00990CAE" w:rsidRPr="00D95185">
        <w:rPr>
          <w:b/>
          <w:bCs/>
        </w:rPr>
        <w:t xml:space="preserve">policy </w:t>
      </w:r>
      <w:r w:rsidR="00950524" w:rsidRPr="00D95185">
        <w:rPr>
          <w:b/>
          <w:bCs/>
        </w:rPr>
        <w:t xml:space="preserve">discussion </w:t>
      </w:r>
      <w:r w:rsidR="00A11487" w:rsidRPr="00D95185">
        <w:rPr>
          <w:b/>
          <w:bCs/>
        </w:rPr>
        <w:t>conflate</w:t>
      </w:r>
      <w:r w:rsidR="00950524" w:rsidRPr="00D95185">
        <w:rPr>
          <w:b/>
          <w:bCs/>
        </w:rPr>
        <w:t xml:space="preserve"> the term “older people’s housing” with “specialist housing” as if this is all an ageing population needs.</w:t>
      </w:r>
    </w:p>
    <w:p w14:paraId="423F00BF" w14:textId="77777777" w:rsidR="00F073AA" w:rsidRDefault="00F073AA" w:rsidP="00F073AA">
      <w:pPr>
        <w:pStyle w:val="ListParagraph"/>
      </w:pPr>
    </w:p>
    <w:p w14:paraId="06F3638E" w14:textId="77777777" w:rsidR="00F073AA" w:rsidRPr="00A20E7B" w:rsidRDefault="00F073AA" w:rsidP="00F073AA">
      <w:pPr>
        <w:pStyle w:val="ListParagraph"/>
        <w:jc w:val="both"/>
      </w:pPr>
    </w:p>
    <w:p w14:paraId="2159127D" w14:textId="25EA0701" w:rsidR="00AD24C1" w:rsidRDefault="00950524" w:rsidP="00F073AA">
      <w:pPr>
        <w:pStyle w:val="ListParagraph"/>
        <w:numPr>
          <w:ilvl w:val="0"/>
          <w:numId w:val="6"/>
        </w:numPr>
        <w:jc w:val="both"/>
        <w:rPr>
          <w:b/>
          <w:bCs/>
        </w:rPr>
      </w:pPr>
      <w:r w:rsidRPr="001C4FC3">
        <w:lastRenderedPageBreak/>
        <w:t>National planning guidance makes clear that local plans need to think about older people living in mainstream as well as specialist homes</w:t>
      </w:r>
      <w:r w:rsidR="005D0B15">
        <w:t xml:space="preserve"> but </w:t>
      </w:r>
      <w:r w:rsidR="00BF5E18">
        <w:t>too often the message isn’t getting through</w:t>
      </w:r>
      <w:r w:rsidRPr="001C4FC3">
        <w:t xml:space="preserve">. </w:t>
      </w:r>
      <w:r w:rsidR="001C4FC3" w:rsidRPr="00D95185">
        <w:rPr>
          <w:b/>
          <w:bCs/>
        </w:rPr>
        <w:t>The glossary definition talks about “People over or approaching retirement age, including the active, newly retired through to the very frail elderly”</w:t>
      </w:r>
      <w:r w:rsidR="001C4FC3" w:rsidRPr="00CD6683">
        <w:rPr>
          <w:rStyle w:val="EndnoteReference"/>
          <w:rFonts w:ascii="Arial" w:hAnsi="Arial" w:cs="Arial"/>
          <w:b/>
          <w:bCs/>
        </w:rPr>
        <w:endnoteReference w:id="15"/>
      </w:r>
      <w:r w:rsidR="001C4FC3" w:rsidRPr="00D95185">
        <w:rPr>
          <w:b/>
          <w:bCs/>
        </w:rPr>
        <w:t xml:space="preserve"> </w:t>
      </w:r>
      <w:r w:rsidR="00BF5E18" w:rsidRPr="00D95185">
        <w:rPr>
          <w:b/>
          <w:bCs/>
        </w:rPr>
        <w:t xml:space="preserve">so looks </w:t>
      </w:r>
      <w:r w:rsidR="00E05C84" w:rsidRPr="00D95185">
        <w:rPr>
          <w:b/>
          <w:bCs/>
        </w:rPr>
        <w:t xml:space="preserve">to a broad </w:t>
      </w:r>
      <w:r w:rsidR="00E766C2" w:rsidRPr="00D95185">
        <w:rPr>
          <w:b/>
          <w:bCs/>
        </w:rPr>
        <w:t>demographic but</w:t>
      </w:r>
      <w:r w:rsidR="001C4FC3" w:rsidRPr="00D95185">
        <w:rPr>
          <w:b/>
          <w:bCs/>
        </w:rPr>
        <w:t xml:space="preserve"> few plans really analyse what mainstream options the different </w:t>
      </w:r>
      <w:r w:rsidR="007430A4" w:rsidRPr="00D95185">
        <w:rPr>
          <w:b/>
          <w:bCs/>
        </w:rPr>
        <w:t xml:space="preserve">older </w:t>
      </w:r>
      <w:r w:rsidR="00E766C2" w:rsidRPr="00D95185">
        <w:rPr>
          <w:b/>
          <w:bCs/>
        </w:rPr>
        <w:t>groups</w:t>
      </w:r>
      <w:r w:rsidR="001C4FC3" w:rsidRPr="00D95185">
        <w:rPr>
          <w:b/>
          <w:bCs/>
        </w:rPr>
        <w:t xml:space="preserve"> across this health and lifestyle spectrum need. </w:t>
      </w:r>
    </w:p>
    <w:p w14:paraId="729150BB" w14:textId="77777777" w:rsidR="00F073AA" w:rsidRPr="00D95185" w:rsidRDefault="00F073AA" w:rsidP="00F073AA">
      <w:pPr>
        <w:pStyle w:val="ListParagraph"/>
        <w:jc w:val="both"/>
        <w:rPr>
          <w:b/>
          <w:bCs/>
        </w:rPr>
      </w:pPr>
    </w:p>
    <w:p w14:paraId="587885EB" w14:textId="527346BC" w:rsidR="00D8487F" w:rsidRDefault="008B5CF5" w:rsidP="00F073AA">
      <w:pPr>
        <w:pStyle w:val="ListParagraph"/>
        <w:numPr>
          <w:ilvl w:val="0"/>
          <w:numId w:val="6"/>
        </w:numPr>
        <w:ind w:left="714" w:hanging="357"/>
        <w:contextualSpacing w:val="0"/>
        <w:jc w:val="both"/>
      </w:pPr>
      <w:r w:rsidRPr="00D8487F">
        <w:t>Downsizing</w:t>
      </w:r>
      <w:r w:rsidR="007A3A67" w:rsidRPr="00D8487F">
        <w:t>/rightsizing</w:t>
      </w:r>
      <w:r w:rsidR="00CC6924" w:rsidRPr="00D8487F">
        <w:t xml:space="preserve"> sounds appealing – freeing up family homes, reducing under occupation, </w:t>
      </w:r>
      <w:r w:rsidR="00175053">
        <w:t>moving</w:t>
      </w:r>
      <w:r w:rsidR="00CC6924" w:rsidRPr="00D8487F">
        <w:t xml:space="preserve"> older people in</w:t>
      </w:r>
      <w:r w:rsidR="001F70C2">
        <w:t>to</w:t>
      </w:r>
      <w:r w:rsidR="00CC6924" w:rsidRPr="00D8487F">
        <w:t xml:space="preserve"> more suitable accommodation – but </w:t>
      </w:r>
      <w:r w:rsidR="00D8487F" w:rsidRPr="00D8487F">
        <w:t xml:space="preserve">getting more people to downsize will be challenging. </w:t>
      </w:r>
    </w:p>
    <w:p w14:paraId="156366C8" w14:textId="73251C8C" w:rsidR="008A31ED" w:rsidRPr="008A31ED" w:rsidRDefault="007B004A" w:rsidP="00F073AA">
      <w:pPr>
        <w:pStyle w:val="ListParagraph"/>
        <w:numPr>
          <w:ilvl w:val="0"/>
          <w:numId w:val="16"/>
        </w:numPr>
        <w:ind w:left="1077" w:hanging="357"/>
        <w:contextualSpacing w:val="0"/>
        <w:jc w:val="both"/>
      </w:pPr>
      <w:r>
        <w:rPr>
          <w:b/>
          <w:bCs/>
        </w:rPr>
        <w:t>More older people are already moving than is often assumed.</w:t>
      </w:r>
      <w:r w:rsidR="0010504A">
        <w:t xml:space="preserve"> In </w:t>
      </w:r>
      <w:r w:rsidR="00D6604D">
        <w:t xml:space="preserve">2021/2022, </w:t>
      </w:r>
      <w:r w:rsidR="00CC6924">
        <w:t xml:space="preserve">the English Housing Survey showed that </w:t>
      </w:r>
      <w:r w:rsidR="00D6604D">
        <w:t>only 2% of older homeowners expected to move home in the next 6 months, as against 5% of those aged 16 to 54</w:t>
      </w:r>
      <w:r w:rsidR="004F18E8">
        <w:t>;</w:t>
      </w:r>
      <w:r w:rsidR="00D6604D">
        <w:t xml:space="preserve"> and 9% of older private rented households as against 20% of younger households.</w:t>
      </w:r>
      <w:r w:rsidR="0010504A">
        <w:rPr>
          <w:rStyle w:val="EndnoteReference"/>
          <w:rFonts w:ascii="Arial" w:hAnsi="Arial" w:cs="Arial"/>
        </w:rPr>
        <w:endnoteReference w:id="16"/>
      </w:r>
      <w:r w:rsidR="0010504A">
        <w:t xml:space="preserve"> </w:t>
      </w:r>
      <w:r w:rsidR="00CC6924">
        <w:t xml:space="preserve">The difference in moving data for younger and older groups has </w:t>
      </w:r>
      <w:r w:rsidR="001F70C2">
        <w:t>led</w:t>
      </w:r>
      <w:r w:rsidR="00CC6924">
        <w:t xml:space="preserve"> to the </w:t>
      </w:r>
      <w:r w:rsidR="00D6604D">
        <w:t xml:space="preserve">assumption that older people do not move home and discussion about how to </w:t>
      </w:r>
      <w:r w:rsidR="00CC6924">
        <w:t>encourage</w:t>
      </w:r>
      <w:r w:rsidR="00D6604D">
        <w:t xml:space="preserve"> them to do so. </w:t>
      </w:r>
      <w:r w:rsidR="00D57F3C" w:rsidRPr="004A59C8">
        <w:rPr>
          <w:b/>
          <w:bCs/>
        </w:rPr>
        <w:t xml:space="preserve">However, these </w:t>
      </w:r>
      <w:r w:rsidR="00CC6924" w:rsidRPr="004A59C8">
        <w:rPr>
          <w:b/>
          <w:bCs/>
        </w:rPr>
        <w:t xml:space="preserve">older </w:t>
      </w:r>
      <w:r w:rsidR="00D57F3C" w:rsidRPr="004A59C8">
        <w:rPr>
          <w:b/>
          <w:bCs/>
        </w:rPr>
        <w:t>movers accumulate over a number of years and over time amount to a large percentage of the older population. I</w:t>
      </w:r>
      <w:r w:rsidR="00D57F3C" w:rsidRPr="00D6604D">
        <w:rPr>
          <w:b/>
          <w:bCs/>
        </w:rPr>
        <w:t xml:space="preserve">FS research suggests that </w:t>
      </w:r>
      <w:r w:rsidR="00496C38">
        <w:rPr>
          <w:b/>
          <w:bCs/>
        </w:rPr>
        <w:t xml:space="preserve">40% of </w:t>
      </w:r>
      <w:r w:rsidR="009C76A1">
        <w:rPr>
          <w:b/>
          <w:bCs/>
        </w:rPr>
        <w:t>homeowners</w:t>
      </w:r>
      <w:r w:rsidR="00496C38">
        <w:rPr>
          <w:b/>
          <w:bCs/>
        </w:rPr>
        <w:t xml:space="preserve"> and over 60% of renters aged 70 have moved into their property since the age of 50. </w:t>
      </w:r>
      <w:r w:rsidR="00672A08">
        <w:t>The</w:t>
      </w:r>
      <w:r w:rsidR="00496C38">
        <w:t xml:space="preserve"> </w:t>
      </w:r>
      <w:r w:rsidR="000C5340">
        <w:t>percentage</w:t>
      </w:r>
      <w:r w:rsidR="00496C38">
        <w:t xml:space="preserve"> of people moving </w:t>
      </w:r>
      <w:r w:rsidR="00672A08">
        <w:t>then falls slightly</w:t>
      </w:r>
      <w:r w:rsidR="007B0028">
        <w:t xml:space="preserve"> for those in their 70s </w:t>
      </w:r>
      <w:r w:rsidR="00D57F3C" w:rsidRPr="00D6604D">
        <w:t>and pick</w:t>
      </w:r>
      <w:r w:rsidR="00672A08">
        <w:t>s</w:t>
      </w:r>
      <w:r w:rsidR="00D57F3C" w:rsidRPr="00D6604D">
        <w:t xml:space="preserve"> up again over the age of 80, </w:t>
      </w:r>
      <w:r w:rsidR="00672A08">
        <w:t xml:space="preserve">driven </w:t>
      </w:r>
      <w:r w:rsidR="00D57F3C" w:rsidRPr="00D6604D">
        <w:t xml:space="preserve">largely </w:t>
      </w:r>
      <w:r w:rsidR="00672A08">
        <w:t xml:space="preserve">by moves </w:t>
      </w:r>
      <w:r w:rsidR="00D57F3C" w:rsidRPr="00D6604D">
        <w:t>into some kind of residential care.</w:t>
      </w:r>
      <w:r w:rsidR="00D57F3C" w:rsidRPr="001C4FC3">
        <w:rPr>
          <w:rStyle w:val="EndnoteReference"/>
          <w:rFonts w:ascii="Arial" w:hAnsi="Arial" w:cs="Arial"/>
        </w:rPr>
        <w:endnoteReference w:id="17"/>
      </w:r>
      <w:r w:rsidR="00D57F3C" w:rsidRPr="00D6604D">
        <w:t xml:space="preserve"> </w:t>
      </w:r>
      <w:r w:rsidR="00672A08">
        <w:t xml:space="preserve">So, a substantial number of </w:t>
      </w:r>
      <w:r w:rsidR="00BB07AA">
        <w:t>older people</w:t>
      </w:r>
      <w:r w:rsidR="00672A08">
        <w:t xml:space="preserve"> are already moving</w:t>
      </w:r>
      <w:r w:rsidR="00754C25">
        <w:t>.</w:t>
      </w:r>
    </w:p>
    <w:p w14:paraId="53C41A12" w14:textId="3E2358A8" w:rsidR="0082378B" w:rsidRPr="00672A08" w:rsidRDefault="00672A08" w:rsidP="00F073AA">
      <w:pPr>
        <w:pStyle w:val="ListParagraph"/>
        <w:numPr>
          <w:ilvl w:val="0"/>
          <w:numId w:val="16"/>
        </w:numPr>
        <w:ind w:left="1077" w:hanging="357"/>
        <w:contextualSpacing w:val="0"/>
        <w:jc w:val="both"/>
      </w:pPr>
      <w:r w:rsidRPr="001C4FC3">
        <w:rPr>
          <w:b/>
          <w:bCs/>
        </w:rPr>
        <w:t>Downsizing releases less equity than people often imagine</w:t>
      </w:r>
      <w:r w:rsidRPr="001C4FC3">
        <w:t>.</w:t>
      </w:r>
      <w:r w:rsidRPr="001C4FC3">
        <w:rPr>
          <w:rStyle w:val="EndnoteReference"/>
          <w:rFonts w:ascii="Arial" w:hAnsi="Arial" w:cs="Arial"/>
        </w:rPr>
        <w:endnoteReference w:id="18"/>
      </w:r>
      <w:r w:rsidRPr="001C4FC3">
        <w:t xml:space="preserve"> A Policy Exchange report concluded that downsizing does not add up financially in many parts of the country</w:t>
      </w:r>
      <w:r>
        <w:t>.</w:t>
      </w:r>
      <w:r w:rsidR="003A2690">
        <w:rPr>
          <w:rStyle w:val="EndnoteReference"/>
          <w:rFonts w:ascii="Arial" w:hAnsi="Arial" w:cs="Arial"/>
        </w:rPr>
        <w:endnoteReference w:id="19"/>
      </w:r>
      <w:r>
        <w:t xml:space="preserve"> </w:t>
      </w:r>
      <w:r w:rsidRPr="001C4FC3">
        <w:t>People are often moving to a home that is more central, in better condition and only a third move to somewhere smaller.</w:t>
      </w:r>
      <w:r>
        <w:t xml:space="preserve"> </w:t>
      </w:r>
      <w:r w:rsidRPr="00672A08">
        <w:t xml:space="preserve">IFS research </w:t>
      </w:r>
      <w:r w:rsidR="0091409E">
        <w:t xml:space="preserve">suggests that the </w:t>
      </w:r>
      <w:r w:rsidRPr="00672A08">
        <w:t>amount of equity released rises with age</w:t>
      </w:r>
      <w:r w:rsidR="00A60CC1">
        <w:t>. T</w:t>
      </w:r>
      <w:r w:rsidRPr="00672A08">
        <w:t>hose over the age of 80 releas</w:t>
      </w:r>
      <w:r w:rsidR="00A60CC1">
        <w:t>e</w:t>
      </w:r>
      <w:r w:rsidRPr="00672A08">
        <w:t xml:space="preserve"> more equity than younger age groups</w:t>
      </w:r>
      <w:r w:rsidR="0091409E">
        <w:t xml:space="preserve"> but people’s appetite for the upheaval of a move reduces as they get older.</w:t>
      </w:r>
      <w:r w:rsidR="00670F2D">
        <w:rPr>
          <w:rStyle w:val="EndnoteReference"/>
          <w:rFonts w:ascii="Arial" w:hAnsi="Arial" w:cs="Arial"/>
        </w:rPr>
        <w:endnoteReference w:id="20"/>
      </w:r>
      <w:r w:rsidR="0091409E">
        <w:t xml:space="preserve"> So, the potential for equity release is likely to be greater amongst the older groups who are more reluctant to move on. </w:t>
      </w:r>
    </w:p>
    <w:p w14:paraId="59EA0CFB" w14:textId="6243EF27" w:rsidR="0082378B" w:rsidRDefault="00DF2D57" w:rsidP="00F073AA">
      <w:pPr>
        <w:pStyle w:val="ListParagraph"/>
        <w:numPr>
          <w:ilvl w:val="0"/>
          <w:numId w:val="16"/>
        </w:numPr>
        <w:contextualSpacing w:val="0"/>
        <w:jc w:val="both"/>
      </w:pPr>
      <w:r w:rsidRPr="0082378B">
        <w:rPr>
          <w:b/>
          <w:bCs/>
        </w:rPr>
        <w:t>Familiarity is both valued and useful</w:t>
      </w:r>
      <w:r w:rsidRPr="001C4FC3">
        <w:t>. Longstanding relationships with a community become increasingly valuable with age, as also a deep knowledge of the layout of a home for those with dementia. People often have a strong connection with an existing home. 96% of households aged 65 and over are satisfied with their current tenure, 95% with their accommodation and 90% with their area.</w:t>
      </w:r>
      <w:r w:rsidRPr="001C4FC3">
        <w:rPr>
          <w:rStyle w:val="EndnoteReference"/>
          <w:rFonts w:ascii="Arial" w:hAnsi="Arial" w:cs="Arial"/>
        </w:rPr>
        <w:endnoteReference w:id="21"/>
      </w:r>
      <w:r w:rsidRPr="001C4FC3">
        <w:t xml:space="preserve"> Feelings about “home” run deep and 22% see leaving their home as “traumatic as bereavement”. Deeper conversations suggest that “we couldn’t find what we were looking for” is often a convenient reason for preferring an existing home. </w:t>
      </w:r>
    </w:p>
    <w:p w14:paraId="7544FF2C" w14:textId="77777777" w:rsidR="0082378B" w:rsidRDefault="0091409E" w:rsidP="00F073AA">
      <w:pPr>
        <w:pStyle w:val="ListParagraph"/>
        <w:numPr>
          <w:ilvl w:val="0"/>
          <w:numId w:val="16"/>
        </w:numPr>
        <w:contextualSpacing w:val="0"/>
        <w:jc w:val="both"/>
      </w:pPr>
      <w:r w:rsidRPr="0082378B">
        <w:rPr>
          <w:b/>
          <w:bCs/>
        </w:rPr>
        <w:lastRenderedPageBreak/>
        <w:t>Size is not necessarily the issue</w:t>
      </w:r>
      <w:r w:rsidR="00B30615" w:rsidRPr="0082378B">
        <w:rPr>
          <w:b/>
          <w:bCs/>
        </w:rPr>
        <w:t xml:space="preserve"> and incentivising downsizing is difficult</w:t>
      </w:r>
      <w:r w:rsidRPr="00B30615">
        <w:t>. 80% of older people already live in homes with 3 beds or less</w:t>
      </w:r>
      <w:r w:rsidRPr="0091409E">
        <w:rPr>
          <w:rStyle w:val="EndnoteReference"/>
          <w:rFonts w:ascii="Arial" w:hAnsi="Arial" w:cs="Arial"/>
        </w:rPr>
        <w:endnoteReference w:id="22"/>
      </w:r>
      <w:r w:rsidRPr="00B30615">
        <w:t xml:space="preserve"> and if affordable </w:t>
      </w:r>
      <w:r w:rsidR="00B73C30">
        <w:t xml:space="preserve">an extra bedroom </w:t>
      </w:r>
      <w:r w:rsidRPr="00B30615">
        <w:t>can be useful, offering a room for a couple to sleep separately, for working, a carer, lodger or to have friends and family to stay. A survey of new home buyers over the age of 55 showed under a quarter chose to buy a home with two bedrooms or less.</w:t>
      </w:r>
      <w:r w:rsidRPr="0091409E">
        <w:rPr>
          <w:rStyle w:val="EndnoteReference"/>
          <w:rFonts w:ascii="Arial" w:hAnsi="Arial" w:cs="Arial"/>
        </w:rPr>
        <w:endnoteReference w:id="23"/>
      </w:r>
      <w:r w:rsidRPr="00B30615">
        <w:t xml:space="preserve"> Bedroom numbers reduced with the age of the buyer but even in the 75 to 85 age band it was under half.</w:t>
      </w:r>
      <w:r w:rsidRPr="0091409E">
        <w:rPr>
          <w:rStyle w:val="EndnoteReference"/>
          <w:rFonts w:ascii="Arial" w:hAnsi="Arial" w:cs="Arial"/>
        </w:rPr>
        <w:endnoteReference w:id="24"/>
      </w:r>
      <w:r w:rsidR="00B30615" w:rsidRPr="00B30615">
        <w:t xml:space="preserve"> </w:t>
      </w:r>
      <w:r w:rsidR="00B30615">
        <w:t>Given these statistics incentivising downsizing by looking at bedroom numbers is difficult and if the metric is floor space then one runs into issues about the extra space for wheelchair accessible homes. A suitable home for ageing is more about an age friendly structur</w:t>
      </w:r>
      <w:r w:rsidR="001954B2">
        <w:t xml:space="preserve">e and the surrounding environment than size. </w:t>
      </w:r>
    </w:p>
    <w:p w14:paraId="2DC68A49" w14:textId="6ED8265F" w:rsidR="001954B2" w:rsidRDefault="005561DA" w:rsidP="00F073AA">
      <w:pPr>
        <w:pStyle w:val="ListParagraph"/>
        <w:numPr>
          <w:ilvl w:val="0"/>
          <w:numId w:val="16"/>
        </w:numPr>
        <w:contextualSpacing w:val="0"/>
        <w:jc w:val="both"/>
      </w:pPr>
      <w:r w:rsidRPr="0082378B">
        <w:rPr>
          <w:b/>
          <w:bCs/>
        </w:rPr>
        <w:t xml:space="preserve">Difficult to assess the best move. The default of staying is often appealing. </w:t>
      </w:r>
      <w:r w:rsidR="00782708" w:rsidRPr="001954B2">
        <w:t xml:space="preserve">Moving </w:t>
      </w:r>
      <w:r w:rsidR="009351A0" w:rsidRPr="001954B2">
        <w:t xml:space="preserve">also </w:t>
      </w:r>
      <w:r w:rsidR="00782708" w:rsidRPr="001954B2">
        <w:t>involves evaluating a large number of variables</w:t>
      </w:r>
      <w:r w:rsidR="00B80228" w:rsidRPr="001954B2">
        <w:t xml:space="preserve">, thinking about </w:t>
      </w:r>
      <w:r w:rsidR="00782708" w:rsidRPr="001954B2">
        <w:t xml:space="preserve">where </w:t>
      </w:r>
      <w:r w:rsidR="00843CBB" w:rsidRPr="001954B2">
        <w:t>friends</w:t>
      </w:r>
      <w:r w:rsidR="00782708" w:rsidRPr="001954B2">
        <w:t xml:space="preserve"> and family might live, </w:t>
      </w:r>
      <w:r w:rsidR="00843CBB" w:rsidRPr="001954B2">
        <w:t>future care needs</w:t>
      </w:r>
      <w:r w:rsidR="0067613D" w:rsidRPr="001954B2">
        <w:t>, house prices, rent prices</w:t>
      </w:r>
      <w:r w:rsidR="00A0023E" w:rsidRPr="001954B2">
        <w:t xml:space="preserve"> and possible changes to means tests and social care costs. </w:t>
      </w:r>
      <w:r w:rsidR="001954B2" w:rsidRPr="001954B2">
        <w:t>These variables may be easier to evaluate as someone gets older and more elements f</w:t>
      </w:r>
      <w:r w:rsidR="00CF4660">
        <w:t>all</w:t>
      </w:r>
      <w:r w:rsidR="001954B2" w:rsidRPr="001954B2">
        <w:t xml:space="preserve"> into place</w:t>
      </w:r>
      <w:r w:rsidR="00C51EB0">
        <w:t>,</w:t>
      </w:r>
      <w:r w:rsidR="001954B2" w:rsidRPr="001954B2">
        <w:t xml:space="preserve"> but again the timing </w:t>
      </w:r>
      <w:r w:rsidR="00C5058D">
        <w:t xml:space="preserve">of </w:t>
      </w:r>
      <w:r w:rsidR="001954B2" w:rsidRPr="001954B2">
        <w:t xml:space="preserve">a move is difficult because as clarity comes, the desire to undertake a move reduces. </w:t>
      </w:r>
    </w:p>
    <w:p w14:paraId="497CEA25" w14:textId="5707AFA8" w:rsidR="0051459E" w:rsidRDefault="00D91E1E" w:rsidP="00F073AA">
      <w:pPr>
        <w:pStyle w:val="ListParagraph"/>
        <w:numPr>
          <w:ilvl w:val="0"/>
          <w:numId w:val="21"/>
        </w:numPr>
        <w:ind w:left="357" w:hanging="357"/>
        <w:contextualSpacing w:val="0"/>
        <w:jc w:val="both"/>
        <w:rPr>
          <w:b/>
          <w:bCs/>
        </w:rPr>
      </w:pPr>
      <w:r w:rsidRPr="001C4FC3">
        <w:t>So</w:t>
      </w:r>
      <w:r w:rsidR="00ED40D3" w:rsidRPr="001C4FC3">
        <w:t>,</w:t>
      </w:r>
      <w:r w:rsidRPr="001C4FC3">
        <w:t xml:space="preserve"> </w:t>
      </w:r>
      <w:r w:rsidR="00693F8A" w:rsidRPr="001C4FC3">
        <w:t xml:space="preserve">the rightsizing narrative has </w:t>
      </w:r>
      <w:r w:rsidR="00A32817" w:rsidRPr="001C4FC3">
        <w:t>a</w:t>
      </w:r>
      <w:r w:rsidR="00693F8A" w:rsidRPr="001C4FC3">
        <w:t xml:space="preserve"> role </w:t>
      </w:r>
      <w:r w:rsidR="00A32817" w:rsidRPr="001C4FC3">
        <w:t>to play. W</w:t>
      </w:r>
      <w:r w:rsidRPr="001C4FC3">
        <w:t xml:space="preserve">e may be able to </w:t>
      </w:r>
      <w:r w:rsidR="001954B2" w:rsidRPr="001C4FC3">
        <w:t>encourage more</w:t>
      </w:r>
      <w:r w:rsidR="003377E2" w:rsidRPr="001C4FC3">
        <w:t xml:space="preserve"> people to move if we offer a</w:t>
      </w:r>
      <w:r w:rsidR="00A32817" w:rsidRPr="001C4FC3">
        <w:t xml:space="preserve">n </w:t>
      </w:r>
      <w:r w:rsidR="003377E2" w:rsidRPr="001C4FC3">
        <w:t>attractive choice of suitable homes</w:t>
      </w:r>
      <w:r w:rsidR="00693F8A" w:rsidRPr="001C4FC3">
        <w:t xml:space="preserve"> and t</w:t>
      </w:r>
      <w:r w:rsidR="007E5A6B" w:rsidRPr="001C4FC3">
        <w:t>here are trigger points such as bereavement</w:t>
      </w:r>
      <w:r w:rsidR="00AB1911" w:rsidRPr="001C4FC3">
        <w:t xml:space="preserve"> or </w:t>
      </w:r>
      <w:r w:rsidR="00B44C5E" w:rsidRPr="001C4FC3">
        <w:t>illness,</w:t>
      </w:r>
      <w:r w:rsidR="00FD11D9" w:rsidRPr="001C4FC3">
        <w:t xml:space="preserve"> </w:t>
      </w:r>
      <w:r w:rsidR="003377E2" w:rsidRPr="001C4FC3">
        <w:t xml:space="preserve">but </w:t>
      </w:r>
      <w:r w:rsidR="00A9583A">
        <w:t>large numbers</w:t>
      </w:r>
      <w:r w:rsidR="00665EAF" w:rsidRPr="001C4FC3">
        <w:t xml:space="preserve"> are moving </w:t>
      </w:r>
      <w:r w:rsidR="00B540CC" w:rsidRPr="001C4FC3">
        <w:t>anyway,</w:t>
      </w:r>
      <w:r w:rsidR="001954B2">
        <w:t xml:space="preserve"> </w:t>
      </w:r>
      <w:r w:rsidR="00665EAF" w:rsidRPr="001C4FC3">
        <w:t>and</w:t>
      </w:r>
      <w:r w:rsidR="001954B2">
        <w:t xml:space="preserve"> it is not a </w:t>
      </w:r>
      <w:r w:rsidR="00F14B04">
        <w:t>straightforward</w:t>
      </w:r>
      <w:r w:rsidR="001954B2">
        <w:t xml:space="preserve"> decision. </w:t>
      </w:r>
      <w:r w:rsidR="001954B2" w:rsidRPr="00B3211A">
        <w:rPr>
          <w:b/>
          <w:bCs/>
        </w:rPr>
        <w:t xml:space="preserve">We </w:t>
      </w:r>
      <w:r w:rsidR="005561DA" w:rsidRPr="00B3211A">
        <w:rPr>
          <w:b/>
          <w:bCs/>
        </w:rPr>
        <w:t xml:space="preserve">need to accept that </w:t>
      </w:r>
      <w:r w:rsidR="008B5CF5" w:rsidRPr="00B3211A">
        <w:rPr>
          <w:b/>
          <w:bCs/>
        </w:rPr>
        <w:t>many</w:t>
      </w:r>
      <w:r w:rsidR="001954B2" w:rsidRPr="00B3211A">
        <w:rPr>
          <w:b/>
          <w:bCs/>
        </w:rPr>
        <w:t xml:space="preserve"> people</w:t>
      </w:r>
      <w:r w:rsidR="008B5CF5" w:rsidRPr="00B3211A">
        <w:rPr>
          <w:b/>
          <w:bCs/>
        </w:rPr>
        <w:t xml:space="preserve"> </w:t>
      </w:r>
      <w:r w:rsidR="00483CA6" w:rsidRPr="00B3211A">
        <w:rPr>
          <w:b/>
          <w:bCs/>
        </w:rPr>
        <w:t xml:space="preserve">will </w:t>
      </w:r>
      <w:r w:rsidR="001954B2" w:rsidRPr="00B3211A">
        <w:rPr>
          <w:b/>
          <w:bCs/>
        </w:rPr>
        <w:t xml:space="preserve">choose to </w:t>
      </w:r>
      <w:r w:rsidR="00483CA6" w:rsidRPr="00B3211A">
        <w:rPr>
          <w:b/>
          <w:bCs/>
        </w:rPr>
        <w:t>age in place</w:t>
      </w:r>
      <w:r w:rsidR="001954B2" w:rsidRPr="00B3211A">
        <w:rPr>
          <w:b/>
          <w:bCs/>
        </w:rPr>
        <w:t xml:space="preserve">, </w:t>
      </w:r>
      <w:r w:rsidR="005561DA" w:rsidRPr="00B3211A">
        <w:rPr>
          <w:b/>
          <w:bCs/>
        </w:rPr>
        <w:t xml:space="preserve">making the right decision for their own </w:t>
      </w:r>
      <w:r w:rsidR="00FD11D9" w:rsidRPr="00B3211A">
        <w:rPr>
          <w:b/>
          <w:bCs/>
        </w:rPr>
        <w:t>set of circumstances.</w:t>
      </w:r>
    </w:p>
    <w:p w14:paraId="61C4A42C" w14:textId="18D5F3B3" w:rsidR="0051459E" w:rsidRPr="0051459E" w:rsidRDefault="00DA0C66" w:rsidP="00F073AA">
      <w:pPr>
        <w:pStyle w:val="ListParagraph"/>
        <w:numPr>
          <w:ilvl w:val="0"/>
          <w:numId w:val="21"/>
        </w:numPr>
        <w:ind w:left="357" w:hanging="357"/>
        <w:contextualSpacing w:val="0"/>
        <w:jc w:val="both"/>
      </w:pPr>
      <w:r>
        <w:t>Nor should</w:t>
      </w:r>
      <w:r w:rsidR="00412B1C">
        <w:t xml:space="preserve"> </w:t>
      </w:r>
      <w:r w:rsidR="00F3096E">
        <w:t>we limit policy to a few solutions, failing to address the many</w:t>
      </w:r>
      <w:r w:rsidR="004D45F3">
        <w:t xml:space="preserve"> other factors that </w:t>
      </w:r>
      <w:r w:rsidR="00CB3A3E">
        <w:t xml:space="preserve">could substantially improve outcomes for older people, particularly those </w:t>
      </w:r>
      <w:r w:rsidR="005679F9">
        <w:t xml:space="preserve">struggling financially on lower incomes. </w:t>
      </w:r>
    </w:p>
    <w:p w14:paraId="33AB225E" w14:textId="77777777" w:rsidR="00D95185" w:rsidRDefault="00C74B96" w:rsidP="00F073AA">
      <w:pPr>
        <w:pStyle w:val="ListParagraph"/>
        <w:numPr>
          <w:ilvl w:val="0"/>
          <w:numId w:val="21"/>
        </w:numPr>
        <w:ind w:left="357" w:hanging="357"/>
        <w:contextualSpacing w:val="0"/>
        <w:jc w:val="both"/>
      </w:pPr>
      <w:r w:rsidRPr="005B465E">
        <w:rPr>
          <w:b/>
          <w:bCs/>
        </w:rPr>
        <w:t>A strategy must be broad</w:t>
      </w:r>
      <w:r w:rsidR="004C3B68" w:rsidRPr="005B465E">
        <w:rPr>
          <w:b/>
          <w:bCs/>
        </w:rPr>
        <w:t>,</w:t>
      </w:r>
      <w:r w:rsidRPr="005B465E">
        <w:rPr>
          <w:b/>
          <w:bCs/>
        </w:rPr>
        <w:t xml:space="preserve"> addressing the full spectrum of </w:t>
      </w:r>
      <w:r w:rsidR="002947E0" w:rsidRPr="005B465E">
        <w:rPr>
          <w:b/>
          <w:bCs/>
        </w:rPr>
        <w:t xml:space="preserve">older people defined in the National Planning framework </w:t>
      </w:r>
      <w:r w:rsidR="00CA610B" w:rsidRPr="005B465E">
        <w:rPr>
          <w:b/>
          <w:bCs/>
        </w:rPr>
        <w:t xml:space="preserve">and include the </w:t>
      </w:r>
      <w:r w:rsidR="00606AE9" w:rsidRPr="005B465E">
        <w:rPr>
          <w:b/>
          <w:bCs/>
        </w:rPr>
        <w:t>many older demographic groups who are currently ignored</w:t>
      </w:r>
      <w:r w:rsidR="00EA765C" w:rsidRPr="005B465E">
        <w:rPr>
          <w:b/>
          <w:bCs/>
        </w:rPr>
        <w:t>, recognising that decisions made at younger years have long term implications</w:t>
      </w:r>
      <w:r w:rsidR="00606AE9" w:rsidRPr="005B465E">
        <w:rPr>
          <w:b/>
          <w:bCs/>
        </w:rPr>
        <w:t>.</w:t>
      </w:r>
      <w:r w:rsidR="00606AE9" w:rsidRPr="00B3211A">
        <w:t xml:space="preserve"> </w:t>
      </w:r>
      <w:r w:rsidR="0085315C" w:rsidRPr="00B3211A">
        <w:t>For example</w:t>
      </w:r>
      <w:r w:rsidR="00F53417">
        <w:t xml:space="preserve">, we need </w:t>
      </w:r>
      <w:r w:rsidR="009903F0">
        <w:t>more options for:</w:t>
      </w:r>
    </w:p>
    <w:p w14:paraId="282ACF57" w14:textId="729D0497" w:rsidR="00D95185" w:rsidRDefault="00A11487" w:rsidP="00F073AA">
      <w:pPr>
        <w:pStyle w:val="ListParagraph"/>
        <w:numPr>
          <w:ilvl w:val="1"/>
          <w:numId w:val="29"/>
        </w:numPr>
        <w:jc w:val="both"/>
      </w:pPr>
      <w:r w:rsidRPr="005B465E">
        <w:rPr>
          <w:b/>
          <w:bCs/>
        </w:rPr>
        <w:t xml:space="preserve">The </w:t>
      </w:r>
      <w:r w:rsidR="0088762A" w:rsidRPr="005B465E">
        <w:rPr>
          <w:b/>
          <w:bCs/>
        </w:rPr>
        <w:t>40% of homeowners aged 70 who will have moved into their home since the age of 50</w:t>
      </w:r>
      <w:r w:rsidRPr="005B465E">
        <w:rPr>
          <w:b/>
          <w:bCs/>
        </w:rPr>
        <w:t xml:space="preserve">. </w:t>
      </w:r>
      <w:r w:rsidR="0088762A" w:rsidRPr="005E3452">
        <w:t xml:space="preserve">This is a substantial proportion of the older population and having moved, many will age in place. </w:t>
      </w:r>
      <w:r w:rsidR="00CD6365" w:rsidRPr="005E3452">
        <w:t xml:space="preserve">This group </w:t>
      </w:r>
      <w:r w:rsidRPr="005E3452">
        <w:t>do not have</w:t>
      </w:r>
      <w:r w:rsidR="00CD6365" w:rsidRPr="005E3452">
        <w:t xml:space="preserve"> </w:t>
      </w:r>
      <w:r w:rsidR="008E3659" w:rsidRPr="005E3452">
        <w:t xml:space="preserve">the </w:t>
      </w:r>
      <w:r w:rsidR="00CD6365" w:rsidRPr="005E3452">
        <w:t xml:space="preserve">age </w:t>
      </w:r>
      <w:r w:rsidR="003E3316" w:rsidRPr="005E3452">
        <w:t>friendly options</w:t>
      </w:r>
      <w:r w:rsidRPr="005E3452">
        <w:t xml:space="preserve"> they </w:t>
      </w:r>
      <w:r w:rsidR="00F14B04" w:rsidRPr="005E3452">
        <w:t>need,</w:t>
      </w:r>
      <w:r w:rsidRPr="005E3452">
        <w:t xml:space="preserve"> and this is a missed opportunity. </w:t>
      </w:r>
      <w:r w:rsidRPr="005B465E">
        <w:rPr>
          <w:b/>
          <w:bCs/>
        </w:rPr>
        <w:t xml:space="preserve">70% of over </w:t>
      </w:r>
      <w:r w:rsidR="008E3659" w:rsidRPr="005B465E">
        <w:rPr>
          <w:b/>
          <w:bCs/>
        </w:rPr>
        <w:t>55-year-olds</w:t>
      </w:r>
      <w:r w:rsidRPr="005B465E">
        <w:rPr>
          <w:b/>
          <w:bCs/>
        </w:rPr>
        <w:t xml:space="preserve"> say that a strong motivation behind considering a move is wanting a home better designed to meet their needs as they age.</w:t>
      </w:r>
      <w:r w:rsidRPr="005B465E">
        <w:rPr>
          <w:rStyle w:val="EndnoteReference"/>
          <w:rFonts w:ascii="Arial" w:hAnsi="Arial" w:cs="Arial"/>
          <w:b/>
          <w:bCs/>
        </w:rPr>
        <w:endnoteReference w:id="25"/>
      </w:r>
      <w:r w:rsidRPr="005E3452">
        <w:t xml:space="preserve"> However, m</w:t>
      </w:r>
      <w:r w:rsidR="0005340D">
        <w:t>any</w:t>
      </w:r>
      <w:r w:rsidRPr="005E3452">
        <w:t xml:space="preserve"> do not manage to find one. </w:t>
      </w:r>
      <w:r w:rsidRPr="0005340D">
        <w:t xml:space="preserve">Only a third, for example, buy a home with </w:t>
      </w:r>
      <w:r w:rsidR="008D1A0B" w:rsidRPr="0005340D">
        <w:t xml:space="preserve">a bedroom that is accessible </w:t>
      </w:r>
      <w:r w:rsidR="0005340D" w:rsidRPr="0005340D">
        <w:t>at the same level as a kitchen or living area</w:t>
      </w:r>
      <w:r w:rsidR="00D85972" w:rsidRPr="0005340D">
        <w:t>.</w:t>
      </w:r>
      <w:r w:rsidRPr="0005340D">
        <w:rPr>
          <w:rStyle w:val="EndnoteReference"/>
          <w:rFonts w:ascii="Arial" w:hAnsi="Arial" w:cs="Arial"/>
        </w:rPr>
        <w:endnoteReference w:id="26"/>
      </w:r>
      <w:r w:rsidRPr="0005340D">
        <w:t xml:space="preserve"> This</w:t>
      </w:r>
      <w:r w:rsidRPr="00C87735">
        <w:t xml:space="preserve"> group are not looking for a traditional idea o</w:t>
      </w:r>
      <w:r w:rsidRPr="005E3452">
        <w:t>f “older people’s housing”. One NHCB survey suggested that among over 55</w:t>
      </w:r>
      <w:r w:rsidR="00B51535">
        <w:t xml:space="preserve"> homeowners</w:t>
      </w:r>
      <w:r w:rsidRPr="005E3452">
        <w:t xml:space="preserve"> who do move, 28% move somewhere bigger</w:t>
      </w:r>
      <w:r w:rsidR="001A5F1B">
        <w:t xml:space="preserve"> and </w:t>
      </w:r>
      <w:r w:rsidRPr="005E3452">
        <w:t>46% invest more money.</w:t>
      </w:r>
      <w:r w:rsidRPr="001C4FC3">
        <w:rPr>
          <w:rStyle w:val="EndnoteReference"/>
          <w:rFonts w:ascii="Arial" w:hAnsi="Arial" w:cs="Arial"/>
        </w:rPr>
        <w:endnoteReference w:id="27"/>
      </w:r>
      <w:r w:rsidRPr="005E3452">
        <w:t xml:space="preserve"> Anecdotally, we hear of older people moving into new build homes marketed to younger age groups.</w:t>
      </w:r>
    </w:p>
    <w:p w14:paraId="03EF25C4" w14:textId="77777777" w:rsidR="00D95185" w:rsidRDefault="00092F8A" w:rsidP="00F073AA">
      <w:pPr>
        <w:pStyle w:val="ListParagraph"/>
        <w:numPr>
          <w:ilvl w:val="1"/>
          <w:numId w:val="29"/>
        </w:numPr>
        <w:ind w:left="1077" w:hanging="357"/>
        <w:contextualSpacing w:val="0"/>
        <w:jc w:val="both"/>
      </w:pPr>
      <w:r w:rsidRPr="00D95185">
        <w:rPr>
          <w:b/>
          <w:bCs/>
        </w:rPr>
        <w:lastRenderedPageBreak/>
        <w:t xml:space="preserve">The </w:t>
      </w:r>
      <w:r w:rsidR="00A92D6C" w:rsidRPr="00D95185">
        <w:rPr>
          <w:b/>
          <w:bCs/>
          <w:shd w:val="clear" w:color="auto" w:fill="FFFFFF"/>
        </w:rPr>
        <w:t xml:space="preserve">70% of renters over the age of 65 </w:t>
      </w:r>
      <w:r w:rsidRPr="00D95185">
        <w:rPr>
          <w:b/>
          <w:bCs/>
          <w:shd w:val="clear" w:color="auto" w:fill="FFFFFF"/>
        </w:rPr>
        <w:t xml:space="preserve">who </w:t>
      </w:r>
      <w:r w:rsidR="00A92D6C" w:rsidRPr="00D95185">
        <w:rPr>
          <w:b/>
          <w:bCs/>
          <w:shd w:val="clear" w:color="auto" w:fill="FFFFFF"/>
        </w:rPr>
        <w:t xml:space="preserve">say that </w:t>
      </w:r>
      <w:r w:rsidR="00F01F88" w:rsidRPr="00D95185">
        <w:rPr>
          <w:b/>
          <w:bCs/>
          <w:shd w:val="clear" w:color="auto" w:fill="FFFFFF"/>
        </w:rPr>
        <w:t>it would be</w:t>
      </w:r>
      <w:r w:rsidR="00A92D6C" w:rsidRPr="00D95185">
        <w:rPr>
          <w:b/>
          <w:bCs/>
          <w:shd w:val="clear" w:color="auto" w:fill="FFFFFF"/>
        </w:rPr>
        <w:t xml:space="preserve"> difficult to find a new property if they had to move.</w:t>
      </w:r>
      <w:r w:rsidR="00A92D6C" w:rsidRPr="00104F59">
        <w:rPr>
          <w:rStyle w:val="EndnoteReference"/>
          <w:rFonts w:ascii="Arial" w:hAnsi="Arial" w:cs="Arial"/>
          <w:color w:val="0B0C0C"/>
          <w:shd w:val="clear" w:color="auto" w:fill="FFFFFF"/>
        </w:rPr>
        <w:endnoteReference w:id="28"/>
      </w:r>
      <w:r w:rsidR="00A92D6C" w:rsidRPr="00D95185">
        <w:rPr>
          <w:shd w:val="clear" w:color="auto" w:fill="FFFFFF"/>
        </w:rPr>
        <w:t xml:space="preserve"> </w:t>
      </w:r>
      <w:r w:rsidR="00526E23" w:rsidRPr="00401150">
        <w:t>Older</w:t>
      </w:r>
      <w:r w:rsidR="00526E23" w:rsidRPr="00D95185">
        <w:rPr>
          <w:shd w:val="clear" w:color="auto" w:fill="FFFFFF"/>
        </w:rPr>
        <w:t xml:space="preserve"> renters may need specific features such as fewer steps or a shower rather than a bath</w:t>
      </w:r>
      <w:r w:rsidR="00A549CD" w:rsidRPr="00D95185">
        <w:rPr>
          <w:shd w:val="clear" w:color="auto" w:fill="FFFFFF"/>
        </w:rPr>
        <w:t xml:space="preserve">. Getting adaptations in the private rented sector is not easy and </w:t>
      </w:r>
      <w:r w:rsidR="00526E23" w:rsidRPr="00104F59">
        <w:t>only 1</w:t>
      </w:r>
      <w:r w:rsidR="00FB373B">
        <w:t>2</w:t>
      </w:r>
      <w:r w:rsidR="00526E23" w:rsidRPr="00104F59">
        <w:t>% of private renters over the age of 75 have level access.</w:t>
      </w:r>
      <w:r w:rsidR="00526E23" w:rsidRPr="00104F59">
        <w:rPr>
          <w:rStyle w:val="EndnoteReference"/>
          <w:rFonts w:ascii="Arial" w:hAnsi="Arial" w:cs="Arial"/>
        </w:rPr>
        <w:endnoteReference w:id="29"/>
      </w:r>
      <w:r w:rsidR="00526E23" w:rsidRPr="00104F59">
        <w:t xml:space="preserve"> </w:t>
      </w:r>
      <w:r w:rsidR="00526E23" w:rsidRPr="00104F59">
        <w:rPr>
          <w:rStyle w:val="EndnoteReference"/>
          <w:rFonts w:ascii="Arial" w:hAnsi="Arial" w:cs="Arial"/>
        </w:rPr>
        <w:endnoteReference w:id="30"/>
      </w:r>
      <w:r w:rsidR="00C830A0" w:rsidRPr="00D95185">
        <w:rPr>
          <w:b/>
          <w:bCs/>
        </w:rPr>
        <w:t xml:space="preserve"> </w:t>
      </w:r>
      <w:r w:rsidR="00C23106" w:rsidRPr="00C23106">
        <w:t>A</w:t>
      </w:r>
      <w:r w:rsidR="000D1A55" w:rsidRPr="00401150">
        <w:t>ffordability is an issue.</w:t>
      </w:r>
      <w:r w:rsidR="000D1A55" w:rsidRPr="00D95185">
        <w:rPr>
          <w:b/>
          <w:bCs/>
        </w:rPr>
        <w:t xml:space="preserve"> </w:t>
      </w:r>
      <w:r w:rsidR="004925A3" w:rsidRPr="005B465E">
        <w:t xml:space="preserve">Older renters spend nearly 40% of </w:t>
      </w:r>
      <w:r w:rsidR="00AA697B" w:rsidRPr="005B465E">
        <w:rPr>
          <w:shd w:val="clear" w:color="auto" w:fill="FFFFFF"/>
        </w:rPr>
        <w:t>their income on rent,</w:t>
      </w:r>
      <w:r w:rsidR="00AA697B" w:rsidRPr="00D95185">
        <w:rPr>
          <w:shd w:val="clear" w:color="auto" w:fill="FFFFFF"/>
        </w:rPr>
        <w:t xml:space="preserve"> against an average of one third for all age groups</w:t>
      </w:r>
      <w:r w:rsidR="00D9574B" w:rsidRPr="00D95185">
        <w:rPr>
          <w:shd w:val="clear" w:color="auto" w:fill="FFFFFF"/>
        </w:rPr>
        <w:t xml:space="preserve"> and </w:t>
      </w:r>
      <w:r w:rsidR="00D9574B" w:rsidRPr="005B465E">
        <w:rPr>
          <w:b/>
          <w:bCs/>
          <w:shd w:val="clear" w:color="auto" w:fill="FFFFFF"/>
        </w:rPr>
        <w:t>o</w:t>
      </w:r>
      <w:r w:rsidR="00CC0092" w:rsidRPr="005B465E">
        <w:rPr>
          <w:b/>
          <w:bCs/>
        </w:rPr>
        <w:t>ver 50% of renters aged between 45 and 64 have no savings</w:t>
      </w:r>
      <w:r w:rsidR="00D9574B" w:rsidRPr="005B465E">
        <w:rPr>
          <w:b/>
          <w:bCs/>
        </w:rPr>
        <w:t>.</w:t>
      </w:r>
      <w:r w:rsidR="00D9574B" w:rsidRPr="005B465E">
        <w:rPr>
          <w:rStyle w:val="EndnoteReference"/>
          <w:rFonts w:ascii="Arial" w:hAnsi="Arial" w:cs="Arial"/>
          <w:b/>
          <w:bCs/>
          <w:color w:val="0B0C0C"/>
          <w:shd w:val="clear" w:color="auto" w:fill="FFFFFF"/>
        </w:rPr>
        <w:t xml:space="preserve"> </w:t>
      </w:r>
      <w:r w:rsidR="00D9574B" w:rsidRPr="005B465E">
        <w:rPr>
          <w:rStyle w:val="EndnoteReference"/>
          <w:rFonts w:ascii="Arial" w:hAnsi="Arial" w:cs="Arial"/>
          <w:b/>
          <w:bCs/>
          <w:color w:val="0B0C0C"/>
          <w:shd w:val="clear" w:color="auto" w:fill="FFFFFF"/>
        </w:rPr>
        <w:endnoteReference w:id="31"/>
      </w:r>
      <w:r w:rsidR="00CC0092" w:rsidRPr="005B465E">
        <w:rPr>
          <w:b/>
          <w:bCs/>
        </w:rPr>
        <w:t xml:space="preserve"> </w:t>
      </w:r>
      <w:r w:rsidR="00D9574B" w:rsidRPr="005B465E">
        <w:rPr>
          <w:b/>
          <w:bCs/>
        </w:rPr>
        <w:t>M</w:t>
      </w:r>
      <w:r w:rsidR="00CC0092" w:rsidRPr="005B465E">
        <w:rPr>
          <w:b/>
          <w:bCs/>
        </w:rPr>
        <w:t>any will struggle to afford their rent in retirement.</w:t>
      </w:r>
      <w:r w:rsidR="00CC0092" w:rsidRPr="005B465E">
        <w:rPr>
          <w:rStyle w:val="EndnoteReference"/>
          <w:rFonts w:ascii="Arial" w:hAnsi="Arial" w:cs="Arial"/>
          <w:b/>
          <w:bCs/>
        </w:rPr>
        <w:endnoteReference w:id="32"/>
      </w:r>
      <w:r w:rsidR="00CC0092">
        <w:t xml:space="preserve"> </w:t>
      </w:r>
      <w:r w:rsidR="00730BAA" w:rsidRPr="00D95185">
        <w:rPr>
          <w:b/>
          <w:bCs/>
        </w:rPr>
        <w:t xml:space="preserve">The </w:t>
      </w:r>
      <w:r w:rsidR="00413950" w:rsidRPr="00D95185">
        <w:rPr>
          <w:b/>
          <w:bCs/>
        </w:rPr>
        <w:t xml:space="preserve">Pensions Policy Institute </w:t>
      </w:r>
      <w:r w:rsidR="00730BAA" w:rsidRPr="00D95185">
        <w:rPr>
          <w:b/>
          <w:bCs/>
        </w:rPr>
        <w:t>estimate</w:t>
      </w:r>
      <w:r w:rsidR="00413950" w:rsidRPr="00D95185">
        <w:rPr>
          <w:b/>
          <w:bCs/>
        </w:rPr>
        <w:t>s</w:t>
      </w:r>
      <w:r w:rsidR="00730BAA" w:rsidRPr="00D95185">
        <w:rPr>
          <w:b/>
          <w:bCs/>
        </w:rPr>
        <w:t xml:space="preserve"> that if current trends continue the cost of housing benefit for older renters will increase by 40%, an additional £2bn pa.</w:t>
      </w:r>
      <w:r w:rsidR="00730BAA" w:rsidRPr="00104F59">
        <w:rPr>
          <w:rStyle w:val="EndnoteReference"/>
          <w:rFonts w:ascii="Arial" w:hAnsi="Arial" w:cs="Arial"/>
          <w:b/>
          <w:bCs/>
        </w:rPr>
        <w:endnoteReference w:id="33"/>
      </w:r>
      <w:r w:rsidR="00730BAA" w:rsidRPr="00D95185">
        <w:rPr>
          <w:b/>
          <w:bCs/>
        </w:rPr>
        <w:t xml:space="preserve"> </w:t>
      </w:r>
      <w:r w:rsidR="001A05F3" w:rsidRPr="00D95185">
        <w:rPr>
          <w:b/>
          <w:bCs/>
        </w:rPr>
        <w:t xml:space="preserve"> </w:t>
      </w:r>
      <w:r w:rsidR="00E05254" w:rsidRPr="00E05254">
        <w:t>Age friendly</w:t>
      </w:r>
      <w:r w:rsidR="00D473F4">
        <w:t xml:space="preserve"> </w:t>
      </w:r>
      <w:r w:rsidR="00E05254" w:rsidRPr="00E05254">
        <w:t xml:space="preserve">build to rent has a role to play. </w:t>
      </w:r>
    </w:p>
    <w:p w14:paraId="56089075" w14:textId="77BC0A96" w:rsidR="00D268BC" w:rsidRPr="00E42FF0" w:rsidRDefault="000E1E30" w:rsidP="00F073AA">
      <w:pPr>
        <w:pStyle w:val="ListParagraph"/>
        <w:numPr>
          <w:ilvl w:val="1"/>
          <w:numId w:val="29"/>
        </w:numPr>
        <w:jc w:val="both"/>
      </w:pPr>
      <w:r>
        <w:t xml:space="preserve">Those who need the stability of </w:t>
      </w:r>
      <w:r w:rsidRPr="00D95185">
        <w:rPr>
          <w:b/>
          <w:bCs/>
        </w:rPr>
        <w:t>social housing</w:t>
      </w:r>
      <w:r>
        <w:t xml:space="preserve">. Even a reformed private rented sector will not be a suitable home for some older people. </w:t>
      </w:r>
      <w:r w:rsidR="001F58E9">
        <w:t xml:space="preserve">Age UK case notes </w:t>
      </w:r>
      <w:r w:rsidR="00576FF0">
        <w:t xml:space="preserve">show </w:t>
      </w:r>
      <w:r w:rsidR="00934FA6">
        <w:t xml:space="preserve">older people struggling to find </w:t>
      </w:r>
      <w:r w:rsidR="009925B8">
        <w:t xml:space="preserve">suitable </w:t>
      </w:r>
      <w:r w:rsidR="00934FA6">
        <w:t xml:space="preserve">rented accommodation which is affordable </w:t>
      </w:r>
      <w:r w:rsidR="00EE4D80">
        <w:t>at current</w:t>
      </w:r>
      <w:r w:rsidR="00934FA6">
        <w:t xml:space="preserve"> Local Housing Allowance</w:t>
      </w:r>
      <w:r w:rsidR="00EE4D80">
        <w:t xml:space="preserve"> rates</w:t>
      </w:r>
      <w:r w:rsidR="00182A25">
        <w:t>.</w:t>
      </w:r>
      <w:r w:rsidR="00394742">
        <w:t xml:space="preserve"> </w:t>
      </w:r>
      <w:r w:rsidR="00EE4D80" w:rsidRPr="00E42FF0">
        <w:t xml:space="preserve">This group need the stability of </w:t>
      </w:r>
      <w:r w:rsidR="00616692" w:rsidRPr="00E42FF0">
        <w:t xml:space="preserve">age friendly, accessible </w:t>
      </w:r>
      <w:r w:rsidR="002E5895" w:rsidRPr="00E42FF0">
        <w:t>social housing.</w:t>
      </w:r>
    </w:p>
    <w:p w14:paraId="294A9006" w14:textId="77777777" w:rsidR="00ED0889" w:rsidRPr="00127222" w:rsidRDefault="00ED0889" w:rsidP="00F073AA">
      <w:pPr>
        <w:pStyle w:val="ListParagraph"/>
        <w:jc w:val="both"/>
      </w:pPr>
    </w:p>
    <w:p w14:paraId="35B16AD3" w14:textId="7C764D0B" w:rsidR="005E3452" w:rsidRPr="005B465E" w:rsidRDefault="006531EC" w:rsidP="00F073AA">
      <w:pPr>
        <w:pStyle w:val="ListParagraph"/>
        <w:numPr>
          <w:ilvl w:val="0"/>
          <w:numId w:val="18"/>
        </w:numPr>
        <w:jc w:val="both"/>
        <w:rPr>
          <w:b/>
          <w:bCs/>
        </w:rPr>
      </w:pPr>
      <w:r w:rsidRPr="005B465E">
        <w:rPr>
          <w:b/>
          <w:bCs/>
        </w:rPr>
        <w:t xml:space="preserve">And through all of this we </w:t>
      </w:r>
      <w:proofErr w:type="gramStart"/>
      <w:r w:rsidRPr="005B465E">
        <w:rPr>
          <w:b/>
          <w:bCs/>
        </w:rPr>
        <w:t>have to</w:t>
      </w:r>
      <w:proofErr w:type="gramEnd"/>
      <w:r w:rsidRPr="005B465E">
        <w:rPr>
          <w:b/>
          <w:bCs/>
        </w:rPr>
        <w:t xml:space="preserve"> recognise that older people do not think of themselves as “old”; rightly, because ‘73% of people aged 75-84 in England say they do not have difficulties with basic activities of daily living’.</w:t>
      </w:r>
      <w:r w:rsidRPr="005B465E">
        <w:rPr>
          <w:rStyle w:val="EndnoteReference"/>
          <w:rFonts w:ascii="Arial" w:hAnsi="Arial" w:cs="Arial"/>
          <w:b/>
          <w:bCs/>
        </w:rPr>
        <w:endnoteReference w:id="34"/>
      </w:r>
      <w:r w:rsidRPr="006531EC">
        <w:t xml:space="preserve"> </w:t>
      </w:r>
      <w:r w:rsidR="00295786" w:rsidRPr="005B465E">
        <w:rPr>
          <w:b/>
          <w:bCs/>
        </w:rPr>
        <w:t xml:space="preserve">They want a full and active life. </w:t>
      </w:r>
      <w:r w:rsidR="00963CBF" w:rsidRPr="005B465E">
        <w:rPr>
          <w:b/>
          <w:bCs/>
        </w:rPr>
        <w:t>However, at</w:t>
      </w:r>
      <w:r w:rsidRPr="005B465E">
        <w:rPr>
          <w:b/>
          <w:bCs/>
        </w:rPr>
        <w:t xml:space="preserve"> some point they might </w:t>
      </w:r>
      <w:r w:rsidR="00963CBF" w:rsidRPr="005B465E">
        <w:rPr>
          <w:b/>
          <w:bCs/>
        </w:rPr>
        <w:t xml:space="preserve">find daily life more </w:t>
      </w:r>
      <w:r w:rsidR="00F37735" w:rsidRPr="005B465E">
        <w:rPr>
          <w:b/>
          <w:bCs/>
        </w:rPr>
        <w:t>difficult,</w:t>
      </w:r>
      <w:r w:rsidRPr="005B465E">
        <w:rPr>
          <w:b/>
          <w:bCs/>
        </w:rPr>
        <w:t xml:space="preserve"> so homes need to accommodate a range of need</w:t>
      </w:r>
      <w:r w:rsidR="00EA765C" w:rsidRPr="005B465E">
        <w:rPr>
          <w:b/>
          <w:bCs/>
        </w:rPr>
        <w:t>.</w:t>
      </w:r>
    </w:p>
    <w:p w14:paraId="161EFC43" w14:textId="3E75FB36" w:rsidR="005638A4" w:rsidRDefault="00D95185" w:rsidP="00F073AA">
      <w:pPr>
        <w:pStyle w:val="Heading1"/>
        <w:jc w:val="both"/>
      </w:pPr>
      <w:r w:rsidRPr="00E62268">
        <w:t>Policy solutions</w:t>
      </w:r>
    </w:p>
    <w:p w14:paraId="5D25E9F4" w14:textId="4D6A23B1" w:rsidR="0052752B" w:rsidRDefault="0085637C" w:rsidP="00F073AA">
      <w:pPr>
        <w:jc w:val="both"/>
      </w:pPr>
      <w:r w:rsidRPr="001C4FC3">
        <w:t>Much can be done without significant additional cost</w:t>
      </w:r>
      <w:r w:rsidR="00F6761A" w:rsidRPr="001C4FC3">
        <w:t xml:space="preserve">. </w:t>
      </w:r>
      <w:r w:rsidR="00AD24C1" w:rsidRPr="001C4FC3">
        <w:t xml:space="preserve">It is about </w:t>
      </w:r>
      <w:r w:rsidR="005F2C24" w:rsidRPr="001C4FC3">
        <w:t>incorporating the needs of</w:t>
      </w:r>
      <w:r w:rsidR="00864022" w:rsidRPr="001C4FC3">
        <w:t xml:space="preserve"> an ageing population </w:t>
      </w:r>
      <w:r w:rsidR="001D719F" w:rsidRPr="001C4FC3">
        <w:t>into all housing decisions</w:t>
      </w:r>
      <w:r w:rsidR="00032163">
        <w:t xml:space="preserve"> and often small changes can have a considerable impact. </w:t>
      </w:r>
    </w:p>
    <w:p w14:paraId="739C32C3" w14:textId="340F9AA0" w:rsidR="002A0B0D" w:rsidRPr="00D95185" w:rsidRDefault="00AD24C1" w:rsidP="00F073AA">
      <w:pPr>
        <w:pStyle w:val="Heading2"/>
        <w:jc w:val="both"/>
      </w:pPr>
      <w:r w:rsidRPr="00D95185">
        <w:t>New build</w:t>
      </w:r>
    </w:p>
    <w:p w14:paraId="60F6A0DE" w14:textId="77777777" w:rsidR="00D95185" w:rsidRPr="00D95185" w:rsidRDefault="001E4151" w:rsidP="00F073AA">
      <w:pPr>
        <w:pStyle w:val="ListParagraph"/>
        <w:numPr>
          <w:ilvl w:val="0"/>
          <w:numId w:val="32"/>
        </w:numPr>
        <w:ind w:left="856" w:hanging="357"/>
        <w:contextualSpacing w:val="0"/>
        <w:jc w:val="both"/>
      </w:pPr>
      <w:r w:rsidRPr="005B465E">
        <w:t>Local plans should be supplemented with clear guidance on how councils will specifically meet the needs of an ageing population, reflecting</w:t>
      </w:r>
      <w:r w:rsidRPr="00D95185">
        <w:t xml:space="preserve"> the full range of health and lifestyle needs identified in the glossary definition. </w:t>
      </w:r>
    </w:p>
    <w:p w14:paraId="43F9FABB" w14:textId="77777777" w:rsidR="00D95185" w:rsidRPr="00D95185" w:rsidRDefault="001E4151" w:rsidP="00F073AA">
      <w:pPr>
        <w:pStyle w:val="ListParagraph"/>
        <w:numPr>
          <w:ilvl w:val="0"/>
          <w:numId w:val="32"/>
        </w:numPr>
        <w:ind w:left="856" w:hanging="357"/>
        <w:contextualSpacing w:val="0"/>
        <w:jc w:val="both"/>
      </w:pPr>
      <w:r w:rsidRPr="00D95185">
        <w:t xml:space="preserve">Given that the current wording is not translating into a sufficiently detailed analysis of what categories of housing older people might need within the mainstream sector, the wording must emphasise this element. It may require a check list of different </w:t>
      </w:r>
      <w:r w:rsidR="00616692" w:rsidRPr="00D95185">
        <w:t xml:space="preserve">demographic </w:t>
      </w:r>
      <w:r w:rsidRPr="00D95185">
        <w:t>groups</w:t>
      </w:r>
      <w:r w:rsidR="00733968" w:rsidRPr="00D95185">
        <w:t>, income groups</w:t>
      </w:r>
      <w:r w:rsidRPr="00D95185">
        <w:t xml:space="preserve"> and tenures and examples of what should be considered</w:t>
      </w:r>
      <w:r w:rsidR="00B058A0" w:rsidRPr="00D95185">
        <w:t>.</w:t>
      </w:r>
    </w:p>
    <w:p w14:paraId="2B7D8E55" w14:textId="35E597B6" w:rsidR="001F392C" w:rsidRPr="00D95185" w:rsidRDefault="00D05D2F" w:rsidP="00F073AA">
      <w:pPr>
        <w:pStyle w:val="ListParagraph"/>
        <w:numPr>
          <w:ilvl w:val="0"/>
          <w:numId w:val="32"/>
        </w:numPr>
        <w:ind w:left="856" w:hanging="357"/>
        <w:contextualSpacing w:val="0"/>
        <w:jc w:val="both"/>
      </w:pPr>
      <w:r w:rsidRPr="00D95185">
        <w:t>A</w:t>
      </w:r>
      <w:r w:rsidR="00AD24C1" w:rsidRPr="00D95185">
        <w:t xml:space="preserve">ll new homes </w:t>
      </w:r>
      <w:r w:rsidRPr="00D95185">
        <w:t xml:space="preserve">should be </w:t>
      </w:r>
      <w:r w:rsidR="00AD24C1" w:rsidRPr="00D95185">
        <w:t xml:space="preserve">built to </w:t>
      </w:r>
      <w:r w:rsidRPr="00D95185">
        <w:t xml:space="preserve">the higher accessibility standards of </w:t>
      </w:r>
      <w:r w:rsidR="00AD24C1" w:rsidRPr="00D95185">
        <w:t>Part M4 Category 2. We have a huge shortage of accessible homes and need new build to address this shortage. We can’t second guess where an older person will live and match a certain number of accessible homes with those who need them. People move to a home aged 40 or 50 and may well stay there as they age</w:t>
      </w:r>
      <w:r w:rsidR="000B0D5B" w:rsidRPr="00D95185">
        <w:t>.</w:t>
      </w:r>
      <w:r w:rsidR="007C2AD7" w:rsidRPr="00D95185">
        <w:t xml:space="preserve"> </w:t>
      </w:r>
      <w:r w:rsidR="00F07CB9" w:rsidRPr="00D95185">
        <w:t xml:space="preserve">They </w:t>
      </w:r>
      <w:r w:rsidR="00AD24C1" w:rsidRPr="00D95185">
        <w:lastRenderedPageBreak/>
        <w:t xml:space="preserve">may have older family </w:t>
      </w:r>
      <w:r w:rsidR="000B0D5B" w:rsidRPr="00D95185">
        <w:t>member</w:t>
      </w:r>
      <w:r w:rsidR="007C2AD7" w:rsidRPr="00D95185">
        <w:t>s</w:t>
      </w:r>
      <w:r w:rsidR="000B0D5B" w:rsidRPr="00D95185">
        <w:t xml:space="preserve"> </w:t>
      </w:r>
      <w:r w:rsidR="00AD24C1" w:rsidRPr="00D95185">
        <w:t>to live with them</w:t>
      </w:r>
      <w:r w:rsidR="00F07CB9" w:rsidRPr="00D95185">
        <w:t>,</w:t>
      </w:r>
      <w:r w:rsidR="00AD24C1" w:rsidRPr="00D95185">
        <w:t xml:space="preserve"> </w:t>
      </w:r>
      <w:r w:rsidR="001436E5" w:rsidRPr="00D95185">
        <w:t xml:space="preserve">either </w:t>
      </w:r>
      <w:r w:rsidR="00AD24C1" w:rsidRPr="00D95185">
        <w:t xml:space="preserve">permanently or </w:t>
      </w:r>
      <w:r w:rsidR="0093527E" w:rsidRPr="00D95185">
        <w:t>temporarily</w:t>
      </w:r>
      <w:r w:rsidR="00F07CB9" w:rsidRPr="00D95185">
        <w:t>,</w:t>
      </w:r>
      <w:r w:rsidR="00D7461E" w:rsidRPr="00D95185">
        <w:t xml:space="preserve"> and need accessibility</w:t>
      </w:r>
      <w:r w:rsidR="00AD24C1" w:rsidRPr="00D95185">
        <w:t>.</w:t>
      </w:r>
      <w:r w:rsidR="00B93A24" w:rsidRPr="00D95185">
        <w:t xml:space="preserve"> To ensure builders can meet th</w:t>
      </w:r>
      <w:r w:rsidR="006E00C7" w:rsidRPr="00D95185">
        <w:t>ese higher</w:t>
      </w:r>
      <w:r w:rsidR="00B93A24" w:rsidRPr="00D95185">
        <w:t xml:space="preserve"> standard</w:t>
      </w:r>
      <w:r w:rsidR="006E00C7" w:rsidRPr="00D95185">
        <w:t>s</w:t>
      </w:r>
      <w:r w:rsidR="00B93A24" w:rsidRPr="00D95185">
        <w:t xml:space="preserve"> they need to be competing </w:t>
      </w:r>
      <w:r w:rsidR="00677DC8" w:rsidRPr="00D95185">
        <w:t>to buy</w:t>
      </w:r>
      <w:r w:rsidR="006473EB" w:rsidRPr="00D95185">
        <w:t xml:space="preserve"> land on a level playing field</w:t>
      </w:r>
      <w:r w:rsidR="00961E34" w:rsidRPr="00D95185">
        <w:t>.</w:t>
      </w:r>
      <w:r w:rsidR="00212805" w:rsidRPr="00D95185">
        <w:t xml:space="preserve"> </w:t>
      </w:r>
      <w:r w:rsidR="004B2098" w:rsidRPr="00D95185">
        <w:t xml:space="preserve">In many cases, there is little additional cost </w:t>
      </w:r>
      <w:r w:rsidR="00D513EA" w:rsidRPr="00D95185">
        <w:t>but where there is</w:t>
      </w:r>
      <w:r w:rsidR="00AE3EC5" w:rsidRPr="00D95185">
        <w:t>,</w:t>
      </w:r>
      <w:r w:rsidR="00D513EA" w:rsidRPr="00D95185">
        <w:t xml:space="preserve"> all bidders need to </w:t>
      </w:r>
      <w:r w:rsidR="00861D25" w:rsidRPr="00D95185">
        <w:t xml:space="preserve">be working </w:t>
      </w:r>
      <w:r w:rsidR="003B595D" w:rsidRPr="00D95185">
        <w:t xml:space="preserve">with </w:t>
      </w:r>
      <w:r w:rsidR="005C621A" w:rsidRPr="00D95185">
        <w:t>the same cost assumptions.</w:t>
      </w:r>
    </w:p>
    <w:p w14:paraId="726304ED" w14:textId="4727D2FA" w:rsidR="002A0B0D" w:rsidRDefault="00AD24C1" w:rsidP="00F073AA">
      <w:pPr>
        <w:ind w:left="856"/>
        <w:jc w:val="both"/>
      </w:pPr>
      <w:r w:rsidRPr="00976191">
        <w:t>Optional standards haven’t produced the number of accessible homes we need</w:t>
      </w:r>
      <w:r w:rsidR="00B60072" w:rsidRPr="00976191">
        <w:t xml:space="preserve">. </w:t>
      </w:r>
      <w:r w:rsidR="0023318D" w:rsidRPr="00976191">
        <w:t xml:space="preserve">Only 31.5% of </w:t>
      </w:r>
      <w:r w:rsidR="007528C2" w:rsidRPr="00976191">
        <w:t>new homes to be built in England 2020-2030 under the current system will meet accessibility standards</w:t>
      </w:r>
      <w:r w:rsidR="00B60072" w:rsidRPr="00976191">
        <w:t xml:space="preserve"> which </w:t>
      </w:r>
      <w:r w:rsidR="00AE59B8" w:rsidRPr="00976191">
        <w:t>provide basic features such as a wall strong enough for a grab rail or plumbing which allows a walk-in shower rather than a bath</w:t>
      </w:r>
      <w:r w:rsidRPr="00976191">
        <w:t>.</w:t>
      </w:r>
      <w:r w:rsidR="0022769C" w:rsidRPr="00976191">
        <w:rPr>
          <w:rStyle w:val="EndnoteReference"/>
          <w:rFonts w:ascii="Arial" w:hAnsi="Arial" w:cs="Arial"/>
        </w:rPr>
        <w:endnoteReference w:id="35"/>
      </w:r>
      <w:r w:rsidRPr="00976191">
        <w:t xml:space="preserve"> </w:t>
      </w:r>
      <w:r w:rsidR="0079539B" w:rsidRPr="005B41F8">
        <w:t>Accessibility statistics for our existing stock have been well aired - only 9% of homes have the 4 features that allow a wheelchair to just visit, not actually live in a home.</w:t>
      </w:r>
      <w:r w:rsidR="0013035E" w:rsidRPr="001C4FC3">
        <w:rPr>
          <w:rStyle w:val="EndnoteReference"/>
          <w:rFonts w:ascii="Arial" w:hAnsi="Arial" w:cs="Arial"/>
        </w:rPr>
        <w:endnoteReference w:id="36"/>
      </w:r>
      <w:r w:rsidR="0079539B" w:rsidRPr="005B41F8">
        <w:t xml:space="preserve"> Much of our existing housing stock has steep narrow staircases, bedrooms on an upper floor, baths to climb in and out of and steps up to a front door.</w:t>
      </w:r>
      <w:r w:rsidR="007E73FB">
        <w:t xml:space="preserve"> </w:t>
      </w:r>
      <w:r w:rsidR="003B2F2C">
        <w:t xml:space="preserve">For those struggling to find a home they can afford, the shortage of accessible housing creates an additional challenge. </w:t>
      </w:r>
      <w:r w:rsidR="000C4911" w:rsidRPr="005B41F8">
        <w:t>H</w:t>
      </w:r>
      <w:r w:rsidR="006E571C" w:rsidRPr="005B41F8">
        <w:t>igher a</w:t>
      </w:r>
      <w:r w:rsidRPr="005B41F8">
        <w:t>ccessib</w:t>
      </w:r>
      <w:r w:rsidR="006B4A4B" w:rsidRPr="005B41F8">
        <w:t>ility</w:t>
      </w:r>
      <w:r w:rsidRPr="005B41F8">
        <w:t xml:space="preserve"> standards have to be </w:t>
      </w:r>
      <w:r w:rsidR="006E571C" w:rsidRPr="005B41F8">
        <w:t>mandatory</w:t>
      </w:r>
      <w:r w:rsidRPr="005B41F8">
        <w:t xml:space="preserve"> to </w:t>
      </w:r>
      <w:r w:rsidR="002043EF" w:rsidRPr="005B41F8">
        <w:t>start to a</w:t>
      </w:r>
      <w:r w:rsidR="000C4911" w:rsidRPr="005B41F8">
        <w:t xml:space="preserve">ddress this shortage. </w:t>
      </w:r>
    </w:p>
    <w:p w14:paraId="28603AAE" w14:textId="6D3346CF" w:rsidR="0082378B" w:rsidRDefault="005D7026" w:rsidP="00F073AA">
      <w:pPr>
        <w:pStyle w:val="ListParagraph"/>
        <w:numPr>
          <w:ilvl w:val="0"/>
          <w:numId w:val="32"/>
        </w:numPr>
        <w:jc w:val="both"/>
      </w:pPr>
      <w:r w:rsidRPr="005B465E">
        <w:t>We need to e</w:t>
      </w:r>
      <w:r w:rsidR="005B41F8" w:rsidRPr="005B465E">
        <w:t>mbed inclusive design.</w:t>
      </w:r>
      <w:r w:rsidR="003A46BE" w:rsidRPr="005B465E">
        <w:t xml:space="preserve"> </w:t>
      </w:r>
      <w:r w:rsidR="00E546E1" w:rsidRPr="005B465E">
        <w:t>Case</w:t>
      </w:r>
      <w:r w:rsidR="00E546E1" w:rsidRPr="0082378B">
        <w:t xml:space="preserve"> notes from the Age UK information and advice line show </w:t>
      </w:r>
      <w:r w:rsidR="00AE1260" w:rsidRPr="0082378B">
        <w:t xml:space="preserve">older </w:t>
      </w:r>
      <w:r w:rsidR="00E546E1" w:rsidRPr="0082378B">
        <w:t xml:space="preserve">people struggling </w:t>
      </w:r>
      <w:r w:rsidR="00072988" w:rsidRPr="0082378B">
        <w:t>with features of a home which could have bee</w:t>
      </w:r>
      <w:r w:rsidR="00AE1260" w:rsidRPr="0082378B">
        <w:t>n designed differently at no additional cost</w:t>
      </w:r>
      <w:r w:rsidR="00C64798" w:rsidRPr="0082378B">
        <w:t xml:space="preserve">. </w:t>
      </w:r>
      <w:r w:rsidR="005014E2" w:rsidRPr="0082378B">
        <w:t>On</w:t>
      </w:r>
      <w:r w:rsidR="00274B2C" w:rsidRPr="0082378B">
        <w:t>e</w:t>
      </w:r>
      <w:r w:rsidR="005014E2" w:rsidRPr="0082378B">
        <w:t xml:space="preserve"> recent example involved an older person whose housing association kitchen had been refurbished but she was unable to reach the </w:t>
      </w:r>
      <w:r w:rsidR="004A62D7" w:rsidRPr="0082378B">
        <w:t>new cupboards</w:t>
      </w:r>
      <w:r w:rsidR="00D068D1" w:rsidRPr="0082378B">
        <w:t>; a</w:t>
      </w:r>
      <w:r w:rsidR="00707C59" w:rsidRPr="0082378B">
        <w:t xml:space="preserve">nother, with a new bathroom </w:t>
      </w:r>
      <w:r w:rsidR="00871917" w:rsidRPr="0082378B">
        <w:t xml:space="preserve">found her </w:t>
      </w:r>
      <w:r w:rsidR="00D068D1" w:rsidRPr="0082378B">
        <w:t xml:space="preserve">walker slipped on the tiles. </w:t>
      </w:r>
    </w:p>
    <w:p w14:paraId="717890AA" w14:textId="77777777" w:rsidR="00F073AA" w:rsidRPr="0082378B" w:rsidRDefault="00F073AA" w:rsidP="00F073AA">
      <w:pPr>
        <w:pStyle w:val="ListParagraph"/>
        <w:ind w:left="861"/>
        <w:jc w:val="both"/>
      </w:pPr>
    </w:p>
    <w:p w14:paraId="5FF129F8" w14:textId="768C1477" w:rsidR="00A06908" w:rsidRPr="0082378B" w:rsidRDefault="00A06908" w:rsidP="00F073AA">
      <w:pPr>
        <w:pStyle w:val="ListParagraph"/>
        <w:numPr>
          <w:ilvl w:val="0"/>
          <w:numId w:val="32"/>
        </w:numPr>
        <w:jc w:val="both"/>
      </w:pPr>
      <w:r w:rsidRPr="005B465E">
        <w:t xml:space="preserve">Planning reforms must </w:t>
      </w:r>
      <w:r w:rsidR="000F0577" w:rsidRPr="005B465E">
        <w:t>remove</w:t>
      </w:r>
      <w:r w:rsidRPr="005B465E">
        <w:t xml:space="preserve"> the barriers holding back</w:t>
      </w:r>
      <w:r w:rsidR="000F0577" w:rsidRPr="005B465E">
        <w:t xml:space="preserve"> growth in the</w:t>
      </w:r>
      <w:r w:rsidRPr="005B465E">
        <w:t xml:space="preserve"> specialist housing </w:t>
      </w:r>
      <w:r w:rsidR="000F0577" w:rsidRPr="005B465E">
        <w:t xml:space="preserve">sector, </w:t>
      </w:r>
      <w:r w:rsidRPr="005B465E">
        <w:t>for example providing a clearer methodology for assessing need, guidance on</w:t>
      </w:r>
      <w:r w:rsidRPr="0082378B">
        <w:t xml:space="preserve"> use classes and viability, more site allocation and greater awareness of the wider benefits. </w:t>
      </w:r>
      <w:r w:rsidR="00B810C8" w:rsidRPr="0082378B">
        <w:t xml:space="preserve">Despite the focus on specialist housing in strategy documents, we are not seeing </w:t>
      </w:r>
      <w:r w:rsidR="00D20319" w:rsidRPr="0082378B">
        <w:t>enough homes built</w:t>
      </w:r>
      <w:r w:rsidR="00B82AB1" w:rsidRPr="0082378B">
        <w:t>, particularly for those on lower incomes</w:t>
      </w:r>
      <w:r w:rsidR="00D20319" w:rsidRPr="0082378B">
        <w:t xml:space="preserve">. </w:t>
      </w:r>
      <w:r w:rsidR="00AB322D" w:rsidRPr="0082378B">
        <w:t>The Elderly Accommodation Council estimates that less than 7,500 units of specialist housing will be built in 2024 across the whole of the UK.</w:t>
      </w:r>
    </w:p>
    <w:p w14:paraId="4E8CBB85" w14:textId="753A8AA5" w:rsidR="0035583D" w:rsidRPr="004C3B7B" w:rsidRDefault="001044FD" w:rsidP="00F073AA">
      <w:pPr>
        <w:pStyle w:val="Heading2"/>
        <w:jc w:val="both"/>
      </w:pPr>
      <w:r>
        <w:t>Existing Stock</w:t>
      </w:r>
      <w:r w:rsidR="00F073AA">
        <w:t xml:space="preserve"> and wider strategy</w:t>
      </w:r>
    </w:p>
    <w:p w14:paraId="3F918E05" w14:textId="767DE1AC" w:rsidR="00613DBA" w:rsidRDefault="00507677" w:rsidP="00F073AA">
      <w:pPr>
        <w:pStyle w:val="ListParagraph"/>
        <w:numPr>
          <w:ilvl w:val="0"/>
          <w:numId w:val="35"/>
        </w:numPr>
        <w:ind w:left="856" w:hanging="357"/>
        <w:contextualSpacing w:val="0"/>
        <w:jc w:val="both"/>
      </w:pPr>
      <w:r w:rsidRPr="005B465E">
        <w:t xml:space="preserve">The wording on accessibility in renovation in the Decent </w:t>
      </w:r>
      <w:r w:rsidR="00F67E21" w:rsidRPr="005B465E">
        <w:t>Homes Standard</w:t>
      </w:r>
      <w:r w:rsidRPr="005B465E">
        <w:t xml:space="preserve"> should be strengthened. It</w:t>
      </w:r>
      <w:r w:rsidRPr="00976191">
        <w:t xml:space="preserve"> </w:t>
      </w:r>
      <w:r w:rsidR="00F67E21" w:rsidRPr="00976191">
        <w:t xml:space="preserve">currently suggests that “Landlords may also want to consider …. </w:t>
      </w:r>
      <w:r w:rsidR="00F84BDA" w:rsidRPr="00976191">
        <w:t>e</w:t>
      </w:r>
      <w:r w:rsidR="00F67E21" w:rsidRPr="00976191">
        <w:t>nsuring that works undertaken do not make it more difficult to use for a person with disabilities, considering lifetime homes”.</w:t>
      </w:r>
      <w:r w:rsidR="00202BB9" w:rsidRPr="00976191">
        <w:rPr>
          <w:rStyle w:val="EndnoteReference"/>
          <w:rFonts w:ascii="Arial" w:hAnsi="Arial" w:cs="Arial"/>
        </w:rPr>
        <w:endnoteReference w:id="37"/>
      </w:r>
      <w:r w:rsidR="00F67E21" w:rsidRPr="00976191">
        <w:t xml:space="preserve"> </w:t>
      </w:r>
      <w:r w:rsidR="00B40795" w:rsidRPr="00976191">
        <w:t>The wording</w:t>
      </w:r>
      <w:r w:rsidR="00452D3C">
        <w:t xml:space="preserve"> </w:t>
      </w:r>
      <w:r w:rsidR="00B40795" w:rsidRPr="00976191">
        <w:t>has</w:t>
      </w:r>
      <w:r w:rsidR="00452D3C">
        <w:t xml:space="preserve"> </w:t>
      </w:r>
      <w:r w:rsidR="00B40795" w:rsidRPr="00976191">
        <w:t>to be practical but</w:t>
      </w:r>
      <w:r w:rsidR="00C1030D" w:rsidRPr="00976191">
        <w:t xml:space="preserve"> </w:t>
      </w:r>
      <w:r w:rsidR="00CC1A4D" w:rsidRPr="00976191">
        <w:t>a</w:t>
      </w:r>
      <w:r w:rsidR="00AF4BB9">
        <w:t xml:space="preserve">lso ensure that we make efficient use of money that is already being spent to </w:t>
      </w:r>
      <w:r w:rsidR="00E36511">
        <w:t>address the current shortage of age friendly homes</w:t>
      </w:r>
      <w:r w:rsidR="00CC1A4D" w:rsidRPr="00976191">
        <w:t xml:space="preserve">. </w:t>
      </w:r>
      <w:r w:rsidR="009F441A" w:rsidRPr="00976191">
        <w:t xml:space="preserve">It should also consider inclusive design. </w:t>
      </w:r>
    </w:p>
    <w:p w14:paraId="66D372F7" w14:textId="7989B56D" w:rsidR="000219E4" w:rsidRDefault="006F7650" w:rsidP="00F073AA">
      <w:pPr>
        <w:pStyle w:val="ListParagraph"/>
        <w:numPr>
          <w:ilvl w:val="0"/>
          <w:numId w:val="35"/>
        </w:numPr>
        <w:ind w:left="856" w:hanging="357"/>
        <w:contextualSpacing w:val="0"/>
        <w:jc w:val="both"/>
      </w:pPr>
      <w:r w:rsidRPr="004A62D7">
        <w:t>We need to do more to encourage</w:t>
      </w:r>
      <w:r w:rsidR="00613DBA" w:rsidRPr="004A62D7">
        <w:t xml:space="preserve"> </w:t>
      </w:r>
      <w:r w:rsidR="002F3ED4" w:rsidRPr="004A62D7">
        <w:t xml:space="preserve">homeowners </w:t>
      </w:r>
      <w:r w:rsidR="00613DBA" w:rsidRPr="004A62D7">
        <w:t>to think</w:t>
      </w:r>
      <w:r w:rsidR="002F3ED4" w:rsidRPr="004A62D7">
        <w:t xml:space="preserve"> about age friendly </w:t>
      </w:r>
      <w:r w:rsidR="002F3ED4" w:rsidRPr="00A201CD">
        <w:t>features as</w:t>
      </w:r>
      <w:r w:rsidR="002F3ED4" w:rsidRPr="004A62D7">
        <w:t xml:space="preserve"> they renovate</w:t>
      </w:r>
      <w:r w:rsidR="001B42DC" w:rsidRPr="00976191">
        <w:t xml:space="preserve">. This might require changes to VAT or </w:t>
      </w:r>
      <w:r w:rsidR="001B42DC" w:rsidRPr="001C4FC3">
        <w:t>other incentives to drive behavioural change</w:t>
      </w:r>
      <w:r w:rsidR="004E09D2">
        <w:t>.</w:t>
      </w:r>
      <w:r w:rsidR="001F3216" w:rsidRPr="001C4FC3">
        <w:t xml:space="preserve"> </w:t>
      </w:r>
      <w:r w:rsidR="001F3216" w:rsidRPr="004A62D7">
        <w:t>Interestingly,</w:t>
      </w:r>
      <w:r w:rsidR="00363D19" w:rsidRPr="004A62D7">
        <w:t xml:space="preserve"> over half of the £6</w:t>
      </w:r>
      <w:r w:rsidR="00433C83" w:rsidRPr="004A62D7">
        <w:t>23</w:t>
      </w:r>
      <w:r w:rsidR="00363D19" w:rsidRPr="004A62D7">
        <w:t>m DFG annual budget is spent on replacing baths with showers.</w:t>
      </w:r>
      <w:r w:rsidR="00A0548A" w:rsidRPr="00976191">
        <w:rPr>
          <w:rStyle w:val="EndnoteReference"/>
          <w:rFonts w:ascii="Arial" w:hAnsi="Arial" w:cs="Arial"/>
        </w:rPr>
        <w:endnoteReference w:id="38"/>
      </w:r>
      <w:r w:rsidR="00363D19" w:rsidRPr="00976191">
        <w:t xml:space="preserve"> </w:t>
      </w:r>
      <w:r w:rsidR="005B3B98" w:rsidRPr="00976191">
        <w:t>Age</w:t>
      </w:r>
      <w:r w:rsidR="007275A8" w:rsidRPr="00976191">
        <w:t xml:space="preserve"> friendly design would r</w:t>
      </w:r>
      <w:r w:rsidR="007275A8" w:rsidRPr="001C4FC3">
        <w:t>educe the need for expensive adaptati</w:t>
      </w:r>
      <w:r w:rsidR="00F243D8">
        <w:t>o</w:t>
      </w:r>
      <w:r w:rsidR="007275A8" w:rsidRPr="001C4FC3">
        <w:t xml:space="preserve">ns. </w:t>
      </w:r>
    </w:p>
    <w:p w14:paraId="002DA6F4" w14:textId="77777777" w:rsidR="00B058A0" w:rsidRPr="004C3B7B" w:rsidRDefault="00B96075" w:rsidP="00F073AA">
      <w:pPr>
        <w:pStyle w:val="ListParagraph"/>
        <w:numPr>
          <w:ilvl w:val="0"/>
          <w:numId w:val="35"/>
        </w:numPr>
        <w:ind w:left="856" w:hanging="357"/>
        <w:contextualSpacing w:val="0"/>
        <w:jc w:val="both"/>
      </w:pPr>
      <w:r w:rsidRPr="004A62D7">
        <w:lastRenderedPageBreak/>
        <w:t>We need to m</w:t>
      </w:r>
      <w:r w:rsidR="00F243D8" w:rsidRPr="004A62D7">
        <w:t xml:space="preserve">ake better use of the </w:t>
      </w:r>
      <w:r w:rsidR="00DE6991" w:rsidRPr="004A62D7">
        <w:t xml:space="preserve">Disabled Facilities Grant </w:t>
      </w:r>
      <w:r w:rsidR="00F243D8" w:rsidRPr="004A62D7">
        <w:t>budget,</w:t>
      </w:r>
      <w:r w:rsidR="007E7EB6" w:rsidRPr="004A62D7">
        <w:t xml:space="preserve"> </w:t>
      </w:r>
      <w:r w:rsidR="00740949" w:rsidRPr="004A62D7">
        <w:t xml:space="preserve">ensuring that all local authorities look at how it is administered and </w:t>
      </w:r>
      <w:r w:rsidR="00DE6991" w:rsidRPr="004A62D7">
        <w:t xml:space="preserve">where </w:t>
      </w:r>
      <w:r w:rsidR="00DE6991" w:rsidRPr="00DD012A">
        <w:t xml:space="preserve">necessary </w:t>
      </w:r>
      <w:r w:rsidR="00DE6991" w:rsidRPr="004A62D7">
        <w:t>make radical changes to ensure efficiency.</w:t>
      </w:r>
      <w:r w:rsidR="00DE6991" w:rsidRPr="00976191">
        <w:t xml:space="preserve"> </w:t>
      </w:r>
      <w:r w:rsidR="00C17BDB" w:rsidRPr="00976191">
        <w:t>In 2021/2022, the last year</w:t>
      </w:r>
      <w:r w:rsidR="00B058A0" w:rsidRPr="00976191">
        <w:t xml:space="preserve"> for which</w:t>
      </w:r>
      <w:r w:rsidR="00C17BDB" w:rsidRPr="00976191">
        <w:t xml:space="preserve"> we have local data</w:t>
      </w:r>
      <w:r w:rsidR="00B058A0" w:rsidRPr="00976191">
        <w:t>,</w:t>
      </w:r>
      <w:r w:rsidR="00C17BDB" w:rsidRPr="00976191">
        <w:t xml:space="preserve"> </w:t>
      </w:r>
      <w:r w:rsidR="00B058A0" w:rsidRPr="00976191">
        <w:t>n</w:t>
      </w:r>
      <w:r w:rsidR="005F7F10" w:rsidRPr="00976191">
        <w:t>early</w:t>
      </w:r>
      <w:r w:rsidR="004844F0" w:rsidRPr="00976191">
        <w:t xml:space="preserve"> 70%</w:t>
      </w:r>
      <w:r w:rsidR="005F7F10" w:rsidRPr="00976191">
        <w:t xml:space="preserve"> </w:t>
      </w:r>
      <w:r w:rsidR="004844F0" w:rsidRPr="00976191">
        <w:t>of local authorities take longer than the 6 months guidance to process the grant</w:t>
      </w:r>
      <w:r w:rsidR="00F7663D" w:rsidRPr="00976191">
        <w:t>.</w:t>
      </w:r>
      <w:r w:rsidR="00433C83" w:rsidRPr="00976191">
        <w:rPr>
          <w:rStyle w:val="EndnoteReference"/>
          <w:rFonts w:ascii="Arial" w:hAnsi="Arial" w:cs="Arial"/>
        </w:rPr>
        <w:endnoteReference w:id="39"/>
      </w:r>
      <w:r w:rsidR="00F7663D" w:rsidRPr="00976191">
        <w:t xml:space="preserve"> Age UK has been involved </w:t>
      </w:r>
      <w:r w:rsidR="007B56A9" w:rsidRPr="00976191">
        <w:t>in cases where it has t</w:t>
      </w:r>
      <w:r w:rsidR="00F7663D" w:rsidRPr="00976191">
        <w:t xml:space="preserve">aken </w:t>
      </w:r>
      <w:r w:rsidR="00F7663D" w:rsidRPr="00AE4DF4">
        <w:t xml:space="preserve">several years to push </w:t>
      </w:r>
      <w:r w:rsidR="007B56A9" w:rsidRPr="00AE4DF4">
        <w:t>applications</w:t>
      </w:r>
      <w:r w:rsidR="00F7663D" w:rsidRPr="00AE4DF4">
        <w:t xml:space="preserve"> </w:t>
      </w:r>
      <w:r w:rsidR="00D60668" w:rsidRPr="00AE4DF4">
        <w:t>through th</w:t>
      </w:r>
      <w:r w:rsidR="00DD15DF" w:rsidRPr="00AE4DF4">
        <w:t>e system</w:t>
      </w:r>
      <w:r w:rsidR="006E4362" w:rsidRPr="00AE4DF4">
        <w:t>, t</w:t>
      </w:r>
      <w:r w:rsidR="00DD15DF" w:rsidRPr="00AE4DF4">
        <w:t xml:space="preserve">hree years in one case to </w:t>
      </w:r>
      <w:r w:rsidR="006E4362" w:rsidRPr="00AE4DF4">
        <w:t xml:space="preserve">get a grant for </w:t>
      </w:r>
      <w:r w:rsidR="00DD15DF" w:rsidRPr="00AE4DF4">
        <w:t>a shower which took less than ten days to</w:t>
      </w:r>
      <w:r w:rsidR="007B56A9" w:rsidRPr="00AE4DF4">
        <w:t xml:space="preserve"> </w:t>
      </w:r>
      <w:r w:rsidR="006A6F52" w:rsidRPr="00AE4DF4">
        <w:t xml:space="preserve">actually </w:t>
      </w:r>
      <w:r w:rsidR="00DD15DF" w:rsidRPr="00AE4DF4">
        <w:t>install</w:t>
      </w:r>
      <w:r w:rsidR="006A6F52" w:rsidRPr="00AE4DF4">
        <w:t>.</w:t>
      </w:r>
      <w:r w:rsidR="00236993" w:rsidRPr="00AE4DF4">
        <w:t xml:space="preserve"> </w:t>
      </w:r>
      <w:r w:rsidR="0048677F" w:rsidRPr="00AE4DF4">
        <w:t xml:space="preserve">Yet we know that in some areas </w:t>
      </w:r>
      <w:r w:rsidR="00DD15DF" w:rsidRPr="00AE4DF4">
        <w:t xml:space="preserve">it </w:t>
      </w:r>
      <w:r w:rsidR="006E6BEA" w:rsidRPr="00AE4DF4">
        <w:t xml:space="preserve">works well so </w:t>
      </w:r>
      <w:r w:rsidR="00BC1B22" w:rsidRPr="00AE4DF4">
        <w:t>it can be done</w:t>
      </w:r>
      <w:r w:rsidR="006E6BEA" w:rsidRPr="00AE4DF4">
        <w:t>,</w:t>
      </w:r>
      <w:r w:rsidR="00BC1B22" w:rsidRPr="00AE4DF4">
        <w:t xml:space="preserve"> benefiting both individual older people and the taxpayer</w:t>
      </w:r>
      <w:r w:rsidR="0048677F" w:rsidRPr="00AE4DF4">
        <w:t xml:space="preserve">. </w:t>
      </w:r>
    </w:p>
    <w:p w14:paraId="04011BA5" w14:textId="6BE7D520" w:rsidR="008F7063" w:rsidRPr="00EB51B0" w:rsidRDefault="00B058A0" w:rsidP="00F073AA">
      <w:pPr>
        <w:pStyle w:val="ListParagraph"/>
        <w:numPr>
          <w:ilvl w:val="0"/>
          <w:numId w:val="35"/>
        </w:numPr>
        <w:ind w:left="856" w:hanging="357"/>
        <w:contextualSpacing w:val="0"/>
        <w:jc w:val="both"/>
      </w:pPr>
      <w:r w:rsidRPr="004A62D7">
        <w:t>T</w:t>
      </w:r>
      <w:r w:rsidR="00C824B7" w:rsidRPr="004A62D7">
        <w:t>he new portal proposed as part of rental reform</w:t>
      </w:r>
      <w:r w:rsidR="000037D7" w:rsidRPr="004A62D7">
        <w:t>s</w:t>
      </w:r>
      <w:r w:rsidRPr="004A62D7">
        <w:t xml:space="preserve"> can be us</w:t>
      </w:r>
      <w:r w:rsidR="0009706F" w:rsidRPr="004A62D7">
        <w:t>ed</w:t>
      </w:r>
      <w:r w:rsidR="00C824B7" w:rsidRPr="004A62D7">
        <w:t xml:space="preserve"> to</w:t>
      </w:r>
      <w:r w:rsidR="00961C6E" w:rsidRPr="004A62D7">
        <w:t xml:space="preserve"> </w:t>
      </w:r>
      <w:r w:rsidR="005F3135" w:rsidRPr="004A62D7">
        <w:t xml:space="preserve">increase the </w:t>
      </w:r>
      <w:r w:rsidR="005F3135" w:rsidRPr="0074629C">
        <w:t xml:space="preserve">number </w:t>
      </w:r>
      <w:r w:rsidR="005F3135" w:rsidRPr="004A62D7">
        <w:t xml:space="preserve">of older renters </w:t>
      </w:r>
      <w:r w:rsidR="001113A2">
        <w:t xml:space="preserve">living in suitable homes and </w:t>
      </w:r>
      <w:r w:rsidR="00946F5F" w:rsidRPr="004A62D7">
        <w:t>getting the adaptations they need.</w:t>
      </w:r>
      <w:r w:rsidR="00CB6F80" w:rsidRPr="000219E4">
        <w:t xml:space="preserve"> </w:t>
      </w:r>
      <w:r w:rsidR="008925BB" w:rsidRPr="000219E4">
        <w:t xml:space="preserve">In many cases there is a solution to a perceived problem which the tenant and </w:t>
      </w:r>
      <w:r w:rsidR="00E508C9" w:rsidRPr="000219E4">
        <w:t>landlord</w:t>
      </w:r>
      <w:r w:rsidR="008925BB" w:rsidRPr="000219E4">
        <w:t xml:space="preserve"> are not aware of</w:t>
      </w:r>
      <w:r w:rsidR="006C6108" w:rsidRPr="000219E4">
        <w:t xml:space="preserve">. </w:t>
      </w:r>
      <w:r w:rsidR="002C3575" w:rsidRPr="000219E4">
        <w:t xml:space="preserve">Clarifying responsibilities, </w:t>
      </w:r>
      <w:r w:rsidR="002C3575" w:rsidRPr="00B058A0">
        <w:t>giving better information about funding options</w:t>
      </w:r>
      <w:r w:rsidR="00B67B5D" w:rsidRPr="00B058A0">
        <w:t xml:space="preserve">, setting </w:t>
      </w:r>
      <w:r w:rsidR="005C3F38" w:rsidRPr="00B058A0">
        <w:t xml:space="preserve">out </w:t>
      </w:r>
      <w:r w:rsidR="00B67B5D" w:rsidRPr="00B058A0">
        <w:t>solutions to common problems and best practice would reduce delay</w:t>
      </w:r>
      <w:r w:rsidR="006C6108" w:rsidRPr="00B058A0">
        <w:t xml:space="preserve">, conflict and </w:t>
      </w:r>
      <w:r w:rsidR="00165223" w:rsidRPr="00B058A0">
        <w:t>improve outcomes for all parties.</w:t>
      </w:r>
      <w:r w:rsidR="004D30AD">
        <w:t xml:space="preserve"> </w:t>
      </w:r>
      <w:r w:rsidR="004C0DDE">
        <w:t>Recording accessib</w:t>
      </w:r>
      <w:r w:rsidR="001113A2">
        <w:t>le features</w:t>
      </w:r>
      <w:r w:rsidR="004C0DDE">
        <w:t xml:space="preserve"> would help renters identify suitable properties</w:t>
      </w:r>
      <w:r w:rsidR="003230F3">
        <w:t>.</w:t>
      </w:r>
    </w:p>
    <w:p w14:paraId="2AFB1DAF" w14:textId="6648F49F" w:rsidR="00EB51B0" w:rsidRPr="00EB51B0" w:rsidRDefault="00EB51B0" w:rsidP="00F073AA">
      <w:pPr>
        <w:pStyle w:val="ListParagraph"/>
        <w:numPr>
          <w:ilvl w:val="0"/>
          <w:numId w:val="35"/>
        </w:numPr>
        <w:ind w:left="856" w:hanging="357"/>
        <w:contextualSpacing w:val="0"/>
        <w:jc w:val="both"/>
      </w:pPr>
      <w:r w:rsidRPr="005B465E">
        <w:t>We need to spread best practice.</w:t>
      </w:r>
      <w:r w:rsidRPr="00137BD7">
        <w:t xml:space="preserve"> There are for example, good Home Improvement Agencies in some areas, local authorities using innovative financing options to fund repairs</w:t>
      </w:r>
      <w:r w:rsidR="005E4F34">
        <w:t xml:space="preserve"> for those on lower incomes</w:t>
      </w:r>
      <w:r w:rsidRPr="00137BD7">
        <w:t xml:space="preserve"> and pockets of good information and advice about housing options. 50% of homeowners aged 50 to 70 say that they cannot afford the priority repairs they </w:t>
      </w:r>
      <w:r w:rsidR="009C7C3A" w:rsidRPr="00137BD7">
        <w:t>need,</w:t>
      </w:r>
      <w:r w:rsidRPr="00137BD7">
        <w:t xml:space="preserve"> and this group are therefore likely to live in poorer conditions as they age</w:t>
      </w:r>
      <w:r w:rsidR="005E4F34">
        <w:t>.</w:t>
      </w:r>
      <w:r>
        <w:rPr>
          <w:rStyle w:val="EndnoteReference"/>
          <w:rFonts w:ascii="Arial" w:hAnsi="Arial" w:cs="Arial"/>
        </w:rPr>
        <w:endnoteReference w:id="40"/>
      </w:r>
      <w:r w:rsidR="00C655F5">
        <w:t xml:space="preserve"> </w:t>
      </w:r>
      <w:r w:rsidRPr="00137BD7">
        <w:t>The support available to them varies significantly across the country and we need to spread best practice. In many cases there is no need to reinvent the wheel.</w:t>
      </w:r>
    </w:p>
    <w:p w14:paraId="64ABA5B1" w14:textId="77777777" w:rsidR="00D95185" w:rsidRDefault="00AE433A" w:rsidP="00F073AA">
      <w:pPr>
        <w:pStyle w:val="ListParagraph"/>
        <w:numPr>
          <w:ilvl w:val="0"/>
          <w:numId w:val="35"/>
        </w:numPr>
        <w:ind w:left="856" w:hanging="357"/>
        <w:contextualSpacing w:val="0"/>
        <w:jc w:val="both"/>
      </w:pPr>
      <w:r w:rsidRPr="005B465E">
        <w:t xml:space="preserve">Enforcement teams in local authorities </w:t>
      </w:r>
      <w:r w:rsidR="0009706F" w:rsidRPr="005B465E">
        <w:t>must be properly resource</w:t>
      </w:r>
      <w:r w:rsidR="008F66A2" w:rsidRPr="005B465E">
        <w:t>d</w:t>
      </w:r>
      <w:r w:rsidR="0012336B" w:rsidRPr="005B465E">
        <w:t>.</w:t>
      </w:r>
      <w:r w:rsidR="00C25327" w:rsidRPr="005B465E">
        <w:t xml:space="preserve"> </w:t>
      </w:r>
      <w:r w:rsidR="00AC55A0" w:rsidRPr="005B465E">
        <w:t>30% of older people in the private rented sector live in non-decent</w:t>
      </w:r>
      <w:r w:rsidR="00AC55A0" w:rsidRPr="00833611">
        <w:t xml:space="preserve"> homes</w:t>
      </w:r>
      <w:r w:rsidR="006F6386">
        <w:rPr>
          <w:rStyle w:val="EndnoteReference"/>
          <w:rFonts w:ascii="Arial" w:hAnsi="Arial" w:cs="Arial"/>
        </w:rPr>
        <w:endnoteReference w:id="41"/>
      </w:r>
      <w:r w:rsidR="00AC55A0" w:rsidRPr="00833611">
        <w:t xml:space="preserve"> and </w:t>
      </w:r>
      <w:r w:rsidR="001D0946" w:rsidRPr="00833611">
        <w:t xml:space="preserve">we know that older people are less likely to complain and less likely to push their own case through a complex system of redress. </w:t>
      </w:r>
      <w:r w:rsidR="0012336B" w:rsidRPr="00833611">
        <w:t xml:space="preserve">Where older people raise a </w:t>
      </w:r>
      <w:r w:rsidR="00941743" w:rsidRPr="00833611">
        <w:t>complaint,</w:t>
      </w:r>
      <w:r w:rsidR="0012336B" w:rsidRPr="00833611">
        <w:t xml:space="preserve"> it needs to be followed up efficiently and </w:t>
      </w:r>
      <w:r w:rsidR="002F65A8" w:rsidRPr="00833611">
        <w:t xml:space="preserve">in some </w:t>
      </w:r>
      <w:r w:rsidR="0009652E" w:rsidRPr="00833611">
        <w:t>cases,</w:t>
      </w:r>
      <w:r w:rsidR="002F65A8" w:rsidRPr="00833611">
        <w:t xml:space="preserve"> enforcement needs to be proactive.</w:t>
      </w:r>
    </w:p>
    <w:p w14:paraId="01464A13" w14:textId="4C063A47" w:rsidR="004C3B7B" w:rsidRPr="004C3B7B" w:rsidRDefault="003D2D78" w:rsidP="00F073AA">
      <w:pPr>
        <w:pStyle w:val="ListParagraph"/>
        <w:numPr>
          <w:ilvl w:val="0"/>
          <w:numId w:val="35"/>
        </w:numPr>
        <w:ind w:left="856" w:hanging="357"/>
        <w:contextualSpacing w:val="0"/>
        <w:jc w:val="both"/>
      </w:pPr>
      <w:r w:rsidRPr="00137BD7">
        <w:t xml:space="preserve">We need to address the issues raised in the APPG report into the </w:t>
      </w:r>
      <w:r w:rsidRPr="00B37CDC">
        <w:t>regeneration</w:t>
      </w:r>
      <w:r w:rsidRPr="00D95185">
        <w:rPr>
          <w:b/>
          <w:bCs/>
        </w:rPr>
        <w:t xml:space="preserve"> </w:t>
      </w:r>
      <w:r w:rsidRPr="005B465E">
        <w:t>of existing sheltered housing and</w:t>
      </w:r>
      <w:r w:rsidRPr="00137BD7">
        <w:t xml:space="preserve"> follow its recommendations.</w:t>
      </w:r>
      <w:r w:rsidR="00A85EAC">
        <w:t xml:space="preserve"> </w:t>
      </w:r>
    </w:p>
    <w:p w14:paraId="555687C7" w14:textId="77777777" w:rsidR="00526C75" w:rsidRPr="004B49E5" w:rsidRDefault="00526C75" w:rsidP="00526C75">
      <w:pPr>
        <w:jc w:val="both"/>
      </w:pPr>
    </w:p>
    <w:sectPr w:rsidR="00526C75" w:rsidRPr="004B49E5" w:rsidSect="00D95185">
      <w:headerReference w:type="first" r:id="rId11"/>
      <w:pgSz w:w="11906" w:h="16838"/>
      <w:pgMar w:top="18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0FB04" w14:textId="77777777" w:rsidR="009504A9" w:rsidRDefault="009504A9" w:rsidP="00D95185">
      <w:r>
        <w:separator/>
      </w:r>
    </w:p>
  </w:endnote>
  <w:endnote w:type="continuationSeparator" w:id="0">
    <w:p w14:paraId="5266C39D" w14:textId="77777777" w:rsidR="009504A9" w:rsidRDefault="009504A9" w:rsidP="00D95185">
      <w:r>
        <w:continuationSeparator/>
      </w:r>
    </w:p>
  </w:endnote>
  <w:endnote w:type="continuationNotice" w:id="1">
    <w:p w14:paraId="6EA6D760" w14:textId="77777777" w:rsidR="009504A9" w:rsidRDefault="009504A9" w:rsidP="00D95185"/>
  </w:endnote>
  <w:endnote w:id="2">
    <w:p w14:paraId="1188971E" w14:textId="76A197CF" w:rsidR="00057539" w:rsidRDefault="00057539">
      <w:pPr>
        <w:pStyle w:val="EndnoteText"/>
      </w:pPr>
      <w:r>
        <w:rPr>
          <w:rStyle w:val="EndnoteReference"/>
        </w:rPr>
        <w:endnoteRef/>
      </w:r>
      <w:r>
        <w:t xml:space="preserve"> </w:t>
      </w:r>
      <w:hyperlink r:id="rId1" w:history="1">
        <w:r w:rsidRPr="00F073AA">
          <w:rPr>
            <w:rStyle w:val="Hyperlink"/>
            <w:rFonts w:ascii="Arial" w:hAnsi="Arial" w:cs="Arial"/>
            <w:color w:val="141760" w:themeColor="accent1"/>
          </w:rPr>
          <w:t>Household projections for England - Office for National Statistics</w:t>
        </w:r>
      </w:hyperlink>
    </w:p>
  </w:endnote>
  <w:endnote w:id="3">
    <w:p w14:paraId="43D26F5A" w14:textId="6F278928" w:rsidR="00A60817" w:rsidRPr="00F073AA" w:rsidRDefault="00A60817" w:rsidP="00D95185">
      <w:pPr>
        <w:pStyle w:val="EndnoteText"/>
        <w:rPr>
          <w:color w:val="141760" w:themeColor="accent1"/>
        </w:rPr>
      </w:pPr>
      <w:r w:rsidRPr="00F073AA">
        <w:rPr>
          <w:rStyle w:val="EndnoteReference"/>
          <w:rFonts w:ascii="Arial" w:hAnsi="Arial" w:cs="Arial"/>
          <w:color w:val="141760" w:themeColor="accent1"/>
        </w:rPr>
        <w:endnoteRef/>
      </w:r>
      <w:r w:rsidRPr="00F073AA">
        <w:rPr>
          <w:color w:val="141760" w:themeColor="accent1"/>
        </w:rPr>
        <w:t xml:space="preserve"> </w:t>
      </w:r>
      <w:r w:rsidR="00D83381" w:rsidRPr="00F073AA">
        <w:rPr>
          <w:color w:val="141760" w:themeColor="accent1"/>
        </w:rPr>
        <w:t>https://ageing-better.org.uk/sites/default/files/2023-08/finding-the-right-place-to-grow-older.pdf</w:t>
      </w:r>
    </w:p>
  </w:endnote>
  <w:endnote w:id="4">
    <w:p w14:paraId="008B1D40" w14:textId="2E763C34" w:rsidR="003A0241" w:rsidRPr="00F073AA" w:rsidRDefault="003A0241"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2" w:anchor=":~:text=The%20possibility%20of%20being%20forced%20to%20move%20can,and%20transform%20the%20quality%20of%20their%20daily%20life." w:history="1">
        <w:r w:rsidR="00937766" w:rsidRPr="00F073AA">
          <w:rPr>
            <w:rStyle w:val="Hyperlink"/>
            <w:rFonts w:ascii="Arial" w:hAnsi="Arial" w:cs="Arial"/>
            <w:color w:val="141760" w:themeColor="accent1"/>
          </w:rPr>
          <w:t>Longer tenancies would be good news for older private renters</w:t>
        </w:r>
      </w:hyperlink>
    </w:p>
    <w:p w14:paraId="55D1C11B" w14:textId="3AC29935" w:rsidR="00937766" w:rsidRPr="00F073AA" w:rsidRDefault="00532187" w:rsidP="00D95185">
      <w:pPr>
        <w:pStyle w:val="EndnoteText"/>
        <w:rPr>
          <w:rFonts w:ascii="Arial" w:hAnsi="Arial" w:cs="Arial"/>
          <w:color w:val="141760" w:themeColor="accent1"/>
        </w:rPr>
      </w:pPr>
      <w:hyperlink r:id="rId3" w:history="1">
        <w:r w:rsidRPr="00F073AA">
          <w:rPr>
            <w:rStyle w:val="Hyperlink"/>
            <w:rFonts w:ascii="Arial" w:hAnsi="Arial" w:cs="Arial"/>
            <w:color w:val="141760" w:themeColor="accent1"/>
          </w:rPr>
          <w:t>the-health-impacts-of-cold-homes-and-fuel-poverty.pdf</w:t>
        </w:r>
      </w:hyperlink>
    </w:p>
    <w:p w14:paraId="63824AC3" w14:textId="2F07A27C" w:rsidR="00532187" w:rsidRPr="00F073AA" w:rsidRDefault="0011060C" w:rsidP="00D95185">
      <w:pPr>
        <w:pStyle w:val="EndnoteText"/>
        <w:rPr>
          <w:color w:val="141760" w:themeColor="accent1"/>
        </w:rPr>
      </w:pPr>
      <w:hyperlink r:id="rId4" w:history="1">
        <w:r w:rsidRPr="00F073AA">
          <w:rPr>
            <w:rStyle w:val="Hyperlink"/>
            <w:rFonts w:ascii="Arial" w:hAnsi="Arial" w:cs="Arial"/>
            <w:color w:val="141760" w:themeColor="accent1"/>
          </w:rPr>
          <w:t>How the nation’s housing crisis is contributing to poverty amongst older people | Centre for Ageing Better</w:t>
        </w:r>
      </w:hyperlink>
    </w:p>
  </w:endnote>
  <w:endnote w:id="5">
    <w:p w14:paraId="59D02527" w14:textId="77777777" w:rsidR="003F001E" w:rsidRPr="00F073AA" w:rsidRDefault="003F001E"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5" w:history="1">
        <w:r w:rsidRPr="00F073AA">
          <w:rPr>
            <w:rStyle w:val="Hyperlink"/>
            <w:rFonts w:ascii="Arial" w:hAnsi="Arial" w:cs="Arial"/>
            <w:color w:val="141760" w:themeColor="accent1"/>
          </w:rPr>
          <w:t>Living longer - Office for National Statistics (ons.gov.uk)</w:t>
        </w:r>
      </w:hyperlink>
    </w:p>
  </w:endnote>
  <w:endnote w:id="6">
    <w:p w14:paraId="7ECAD6E4" w14:textId="77777777" w:rsidR="004925A3" w:rsidRPr="00F073AA" w:rsidRDefault="004925A3"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6" w:history="1">
        <w:r w:rsidRPr="00F073AA">
          <w:rPr>
            <w:rStyle w:val="Hyperlink"/>
            <w:rFonts w:ascii="Arial" w:hAnsi="Arial" w:cs="Arial"/>
            <w:color w:val="141760" w:themeColor="accent1"/>
          </w:rPr>
          <w:t>Hidden renters: The unseen faces of the rising older rental wave | Independent Age</w:t>
        </w:r>
      </w:hyperlink>
    </w:p>
  </w:endnote>
  <w:endnote w:id="7">
    <w:p w14:paraId="0B111277" w14:textId="312F0F4C" w:rsidR="00FC5826" w:rsidRPr="00F073AA" w:rsidRDefault="00FC5826" w:rsidP="00D95185">
      <w:pPr>
        <w:pStyle w:val="EndnoteText"/>
        <w:rPr>
          <w:color w:val="141760" w:themeColor="accent1"/>
        </w:rPr>
      </w:pPr>
      <w:r w:rsidRPr="00F073AA">
        <w:rPr>
          <w:rStyle w:val="EndnoteReference"/>
          <w:rFonts w:ascii="Arial" w:hAnsi="Arial" w:cs="Arial"/>
          <w:color w:val="141760" w:themeColor="accent1"/>
        </w:rPr>
        <w:endnoteRef/>
      </w:r>
      <w:r w:rsidRPr="00F073AA">
        <w:rPr>
          <w:color w:val="141760" w:themeColor="accent1"/>
        </w:rPr>
        <w:t xml:space="preserve"> </w:t>
      </w:r>
      <w:hyperlink r:id="rId7" w:history="1">
        <w:r w:rsidR="00AB2901" w:rsidRPr="00F073AA">
          <w:rPr>
            <w:rStyle w:val="Hyperlink"/>
            <w:rFonts w:ascii="Arial" w:hAnsi="Arial" w:cs="Arial"/>
            <w:color w:val="141760" w:themeColor="accent1"/>
          </w:rPr>
          <w:t>Half of over 50s who want home renovations are ‘unable to afford’ them | Centre for Ageing Better (ageing-better.org.uk)</w:t>
        </w:r>
      </w:hyperlink>
      <w:r w:rsidR="00AB2901" w:rsidRPr="00F073AA">
        <w:rPr>
          <w:color w:val="141760" w:themeColor="accent1"/>
        </w:rPr>
        <w:t xml:space="preserve">       </w:t>
      </w:r>
      <w:hyperlink r:id="rId8" w:anchor="quality-of-homes" w:history="1">
        <w:r w:rsidR="00E14302" w:rsidRPr="00F073AA">
          <w:rPr>
            <w:rStyle w:val="Hyperlink"/>
            <w:rFonts w:ascii="Arial" w:hAnsi="Arial" w:cs="Arial"/>
            <w:color w:val="141760" w:themeColor="accent1"/>
          </w:rPr>
          <w:t>Homes | The State of Ageing 2023-24 | Centre for Ageing Better (ageing-better.org.uk)</w:t>
        </w:r>
      </w:hyperlink>
    </w:p>
  </w:endnote>
  <w:endnote w:id="8">
    <w:p w14:paraId="15EA1277" w14:textId="12D4B047" w:rsidR="00056646" w:rsidRPr="00F073AA" w:rsidRDefault="00056646"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9" w:history="1">
        <w:r w:rsidRPr="00F073AA">
          <w:rPr>
            <w:rStyle w:val="Hyperlink"/>
            <w:rFonts w:ascii="Arial" w:hAnsi="Arial" w:cs="Arial"/>
            <w:color w:val="141760" w:themeColor="accent1"/>
          </w:rPr>
          <w:t>EHS20-21_Older_People_s_Housing_-_Ch2_-_Tables.ods (live.com)</w:t>
        </w:r>
      </w:hyperlink>
    </w:p>
  </w:endnote>
  <w:endnote w:id="9">
    <w:p w14:paraId="05E83B25" w14:textId="77777777" w:rsidR="00EE5C1A" w:rsidRPr="00F073AA" w:rsidRDefault="00EE5C1A"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10" w:history="1">
        <w:r w:rsidRPr="00F073AA">
          <w:rPr>
            <w:rStyle w:val="Hyperlink"/>
            <w:rFonts w:ascii="Arial" w:hAnsi="Arial" w:cs="Arial"/>
            <w:color w:val="141760" w:themeColor="accent1"/>
          </w:rPr>
          <w:t>Ethnic group by housing tenure and occupancy rating, England and Wales, Census 2021 - Office for National Statistics (ons.gov.uk)</w:t>
        </w:r>
      </w:hyperlink>
    </w:p>
  </w:endnote>
  <w:endnote w:id="10">
    <w:p w14:paraId="4AB7AB2D" w14:textId="0B2A3351" w:rsidR="00984C27" w:rsidRPr="00F073AA" w:rsidRDefault="00701E92"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11" w:history="1">
        <w:r w:rsidR="00970589" w:rsidRPr="00F073AA">
          <w:rPr>
            <w:rStyle w:val="Hyperlink"/>
            <w:rFonts w:ascii="Arial" w:hAnsi="Arial" w:cs="Arial"/>
            <w:color w:val="141760" w:themeColor="accent1"/>
          </w:rPr>
          <w:t>Household characteristics - Office for National Statistics</w:t>
        </w:r>
      </w:hyperlink>
    </w:p>
  </w:endnote>
  <w:endnote w:id="11">
    <w:p w14:paraId="2962F70A" w14:textId="77777777" w:rsidR="00973C15" w:rsidRPr="00F073AA" w:rsidRDefault="00973C15"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12" w:history="1">
        <w:r w:rsidRPr="00F073AA">
          <w:rPr>
            <w:rStyle w:val="Hyperlink"/>
            <w:rFonts w:ascii="Arial" w:hAnsi="Arial" w:cs="Arial"/>
            <w:color w:val="141760" w:themeColor="accent1"/>
          </w:rPr>
          <w:t>Social housing lettings in England, tenants: April 2022 to March 2023 - GOV.UK (www.gov.uk)</w:t>
        </w:r>
      </w:hyperlink>
    </w:p>
  </w:endnote>
  <w:endnote w:id="12">
    <w:p w14:paraId="43D88067" w14:textId="77777777" w:rsidR="00AD24C1" w:rsidRPr="00F073AA" w:rsidRDefault="00AD24C1"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13" w:history="1">
        <w:r w:rsidRPr="00F073AA">
          <w:rPr>
            <w:rStyle w:val="Hyperlink"/>
            <w:rFonts w:ascii="Arial" w:hAnsi="Arial" w:cs="Arial"/>
            <w:color w:val="141760" w:themeColor="accent1"/>
          </w:rPr>
          <w:t>Household projections for England - Office for National Statistics</w:t>
        </w:r>
      </w:hyperlink>
    </w:p>
  </w:endnote>
  <w:endnote w:id="13">
    <w:p w14:paraId="690BA24C" w14:textId="08FF11E9" w:rsidR="00AE470F" w:rsidRPr="00F073AA" w:rsidRDefault="003A0241" w:rsidP="00D95185">
      <w:pPr>
        <w:pStyle w:val="EndnoteText"/>
        <w:rPr>
          <w:color w:val="141760" w:themeColor="accent1"/>
        </w:rPr>
      </w:pPr>
      <w:r w:rsidRPr="00F073AA">
        <w:rPr>
          <w:rStyle w:val="EndnoteReference"/>
          <w:rFonts w:ascii="Arial" w:hAnsi="Arial" w:cs="Arial"/>
          <w:color w:val="141760" w:themeColor="accent1"/>
        </w:rPr>
        <w:endnoteRef/>
      </w:r>
      <w:r w:rsidRPr="00F073AA">
        <w:rPr>
          <w:color w:val="141760" w:themeColor="accent1"/>
        </w:rPr>
        <w:t xml:space="preserve"> </w:t>
      </w:r>
      <w:r w:rsidR="00AE470F" w:rsidRPr="00F073AA">
        <w:rPr>
          <w:color w:val="141760" w:themeColor="accent1"/>
        </w:rPr>
        <w:t>https://ageing-better.org.uk/sites/default/files/2023-08/finding-the-right-place-to-grow-older.pdf</w:t>
      </w:r>
    </w:p>
  </w:endnote>
  <w:endnote w:id="14">
    <w:p w14:paraId="63C2CBE1" w14:textId="77777777" w:rsidR="00AD24C1" w:rsidRPr="00F073AA" w:rsidRDefault="00AD24C1"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14" w:history="1">
        <w:r w:rsidRPr="00F073AA">
          <w:rPr>
            <w:rStyle w:val="Hyperlink"/>
            <w:rFonts w:ascii="Arial" w:hAnsi="Arial" w:cs="Arial"/>
            <w:color w:val="141760" w:themeColor="accent1"/>
          </w:rPr>
          <w:t>Unpaid care in England and Wales valued at £445 million per day | Carers UK</w:t>
        </w:r>
      </w:hyperlink>
    </w:p>
  </w:endnote>
  <w:endnote w:id="15">
    <w:p w14:paraId="180215D0" w14:textId="4096E03E" w:rsidR="001C4FC3" w:rsidRPr="00F073AA" w:rsidRDefault="001C4FC3" w:rsidP="00D95185">
      <w:pPr>
        <w:pStyle w:val="EndnoteText"/>
        <w:rPr>
          <w:color w:val="141760" w:themeColor="accent1"/>
        </w:rPr>
      </w:pPr>
      <w:r w:rsidRPr="00F073AA">
        <w:rPr>
          <w:rStyle w:val="EndnoteReference"/>
          <w:rFonts w:ascii="Arial" w:hAnsi="Arial" w:cs="Arial"/>
          <w:color w:val="141760" w:themeColor="accent1"/>
        </w:rPr>
        <w:endnoteRef/>
      </w:r>
      <w:r w:rsidRPr="00F073AA">
        <w:rPr>
          <w:color w:val="141760" w:themeColor="accent1"/>
        </w:rPr>
        <w:t>https://assets.publishing.service.gov.uk/media/66acffddce1fd0da7b593274/NPPF_with_footnotes.pdf</w:t>
      </w:r>
    </w:p>
  </w:endnote>
  <w:endnote w:id="16">
    <w:p w14:paraId="267FB32A" w14:textId="77777777" w:rsidR="0010504A" w:rsidRPr="00F073AA" w:rsidRDefault="0010504A"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15" w:anchor=":~:text=22%%20of%20households%20have%20lived%20in%20their%20current%20home%20for#:~:text=22%%20of%20households%20have%20lived%20in%20their%20current%20home%20for" w:history="1">
        <w:r w:rsidRPr="00F073AA">
          <w:rPr>
            <w:rStyle w:val="Hyperlink"/>
            <w:rFonts w:ascii="Arial" w:hAnsi="Arial" w:cs="Arial"/>
            <w:color w:val="141760" w:themeColor="accent1"/>
          </w:rPr>
          <w:t>English Housing Survey 2021 to 2022: household moves - fact sheet - GOV.UK (www.gov.uk)</w:t>
        </w:r>
      </w:hyperlink>
    </w:p>
  </w:endnote>
  <w:endnote w:id="17">
    <w:p w14:paraId="47D1C78C" w14:textId="77777777" w:rsidR="00D57F3C" w:rsidRPr="00F073AA" w:rsidRDefault="00D57F3C" w:rsidP="00D95185">
      <w:pPr>
        <w:pStyle w:val="EndnoteText"/>
        <w:rPr>
          <w:color w:val="141760" w:themeColor="accent1"/>
        </w:rPr>
      </w:pPr>
      <w:r w:rsidRPr="00F073AA">
        <w:rPr>
          <w:rStyle w:val="EndnoteReference"/>
          <w:rFonts w:ascii="Arial" w:hAnsi="Arial" w:cs="Arial"/>
          <w:color w:val="141760" w:themeColor="accent1"/>
        </w:rPr>
        <w:endnoteRef/>
      </w:r>
      <w:r w:rsidRPr="00F073AA">
        <w:rPr>
          <w:color w:val="141760" w:themeColor="accent1"/>
        </w:rPr>
        <w:t xml:space="preserve"> https://ifs.org.uk/sites/default/files/output_url_files/BN239.pdf</w:t>
      </w:r>
    </w:p>
  </w:endnote>
  <w:endnote w:id="18">
    <w:p w14:paraId="518EA3F4" w14:textId="64ADD6B8" w:rsidR="00672A08" w:rsidRPr="00F073AA" w:rsidRDefault="00672A08"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hyperlink r:id="rId16" w:history="1">
        <w:r w:rsidR="00A45F3A" w:rsidRPr="00F073AA">
          <w:rPr>
            <w:rStyle w:val="Hyperlink"/>
            <w:rFonts w:ascii="Arial" w:hAnsi="Arial" w:cs="Arial"/>
            <w:color w:val="141760" w:themeColor="accent1"/>
          </w:rPr>
          <w:t>https://www.housinglin.org.uk/_assets/Resources/Housing/OtherOrganisation/ILC_Downsizing_Report.pdf</w:t>
        </w:r>
      </w:hyperlink>
    </w:p>
    <w:p w14:paraId="6834981D" w14:textId="77777777" w:rsidR="00672A08" w:rsidRPr="00F073AA" w:rsidRDefault="00672A08" w:rsidP="00D95185">
      <w:pPr>
        <w:pStyle w:val="EndnoteText"/>
        <w:rPr>
          <w:color w:val="141760" w:themeColor="accent1"/>
        </w:rPr>
      </w:pPr>
      <w:r w:rsidRPr="00F073AA">
        <w:rPr>
          <w:color w:val="141760" w:themeColor="accent1"/>
        </w:rPr>
        <w:t>https://ifs.org.uk/sites/default/files/output_url_files/BN239.pdf</w:t>
      </w:r>
    </w:p>
  </w:endnote>
  <w:endnote w:id="19">
    <w:p w14:paraId="01417092" w14:textId="3F1F2A1F" w:rsidR="003A2690" w:rsidRPr="00F073AA" w:rsidRDefault="003A2690"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17" w:history="1">
        <w:r w:rsidR="00A11A53" w:rsidRPr="00F073AA">
          <w:rPr>
            <w:rStyle w:val="Hyperlink"/>
            <w:rFonts w:ascii="Arial" w:hAnsi="Arial" w:cs="Arial"/>
            <w:color w:val="141760" w:themeColor="accent1"/>
          </w:rPr>
          <w:t>Building-for-the-Baby-Boomers-Jack-Airey-Policy-Exchange-December-2018.pdf (policyexchange.org.uk)</w:t>
        </w:r>
      </w:hyperlink>
    </w:p>
  </w:endnote>
  <w:endnote w:id="20">
    <w:p w14:paraId="490D3597" w14:textId="7C344D2A" w:rsidR="00670F2D" w:rsidRPr="00F073AA" w:rsidRDefault="00670F2D" w:rsidP="00D95185">
      <w:pPr>
        <w:pStyle w:val="EndnoteText"/>
        <w:rPr>
          <w:color w:val="141760" w:themeColor="accent1"/>
        </w:rPr>
      </w:pPr>
      <w:r w:rsidRPr="00F073AA">
        <w:rPr>
          <w:rStyle w:val="EndnoteReference"/>
          <w:rFonts w:ascii="Arial" w:hAnsi="Arial" w:cs="Arial"/>
          <w:color w:val="141760" w:themeColor="accent1"/>
        </w:rPr>
        <w:endnoteRef/>
      </w:r>
      <w:r w:rsidRPr="00F073AA">
        <w:rPr>
          <w:color w:val="141760" w:themeColor="accent1"/>
        </w:rPr>
        <w:t xml:space="preserve"> https://ifs.org.uk/sites/default/files/output_url_files/BN239.pdf</w:t>
      </w:r>
    </w:p>
  </w:endnote>
  <w:endnote w:id="21">
    <w:p w14:paraId="691509F4" w14:textId="77777777" w:rsidR="00DF2D57" w:rsidRPr="00F073AA" w:rsidRDefault="00DF2D57"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18" w:history="1">
        <w:r w:rsidRPr="00F073AA">
          <w:rPr>
            <w:rStyle w:val="Hyperlink"/>
            <w:rFonts w:ascii="Arial" w:hAnsi="Arial" w:cs="Arial"/>
            <w:color w:val="141760" w:themeColor="accent1"/>
          </w:rPr>
          <w:t>English Housing Survey: Housing across the life course 2018-19 (publishing.service.gov.uk)</w:t>
        </w:r>
      </w:hyperlink>
    </w:p>
  </w:endnote>
  <w:endnote w:id="22">
    <w:p w14:paraId="5AD8BF16" w14:textId="77777777" w:rsidR="0091409E" w:rsidRPr="00F073AA" w:rsidRDefault="0091409E" w:rsidP="00D95185">
      <w:pPr>
        <w:pStyle w:val="EndnoteText"/>
        <w:rPr>
          <w:color w:val="141760" w:themeColor="accent1"/>
        </w:rPr>
      </w:pPr>
      <w:r w:rsidRPr="00F073AA">
        <w:rPr>
          <w:rStyle w:val="EndnoteReference"/>
          <w:rFonts w:ascii="Arial" w:hAnsi="Arial" w:cs="Arial"/>
          <w:color w:val="141760" w:themeColor="accent1"/>
        </w:rPr>
        <w:endnoteRef/>
      </w:r>
      <w:r w:rsidRPr="00F073AA">
        <w:rPr>
          <w:color w:val="141760" w:themeColor="accent1"/>
        </w:rPr>
        <w:t xml:space="preserve"> Age UK analysis of data from the Office for National Statistics’ 2021 Census for England and Wales</w:t>
      </w:r>
    </w:p>
  </w:endnote>
  <w:endnote w:id="23">
    <w:p w14:paraId="48278E60" w14:textId="77777777" w:rsidR="0091409E" w:rsidRPr="00F073AA" w:rsidRDefault="0091409E"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19" w:history="1">
        <w:r w:rsidRPr="00F073AA">
          <w:rPr>
            <w:rStyle w:val="Hyperlink"/>
            <w:rFonts w:ascii="Arial" w:hAnsi="Arial" w:cs="Arial"/>
            <w:color w:val="141760" w:themeColor="accent1"/>
          </w:rPr>
          <w:t>DownloadTemplate_4.pdf (cam.ac.uk)</w:t>
        </w:r>
      </w:hyperlink>
    </w:p>
  </w:endnote>
  <w:endnote w:id="24">
    <w:p w14:paraId="308DDB7B" w14:textId="77777777" w:rsidR="0091409E" w:rsidRPr="00F073AA" w:rsidRDefault="0091409E"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20" w:history="1">
        <w:r w:rsidRPr="00F073AA">
          <w:rPr>
            <w:rStyle w:val="Hyperlink"/>
            <w:rFonts w:ascii="Arial" w:hAnsi="Arial" w:cs="Arial"/>
            <w:color w:val="141760" w:themeColor="accent1"/>
          </w:rPr>
          <w:t>DownloadTemplate_4.pdf (cam.ac.uk)</w:t>
        </w:r>
      </w:hyperlink>
    </w:p>
  </w:endnote>
  <w:endnote w:id="25">
    <w:p w14:paraId="1FD69BB8" w14:textId="77777777" w:rsidR="00A11487" w:rsidRPr="00F073AA" w:rsidRDefault="00A11487" w:rsidP="00F073AA">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21" w:history="1">
        <w:r w:rsidRPr="00F073AA">
          <w:rPr>
            <w:rStyle w:val="Hyperlink"/>
            <w:rFonts w:ascii="Arial" w:hAnsi="Arial" w:cs="Arial"/>
            <w:color w:val="141760" w:themeColor="accent1"/>
          </w:rPr>
          <w:t>https://www.housinglin.org.uk/_assets/Resources/Housing/OtherOrganisation/11756-AgeFriendly-Report-FINALpdf.pdf</w:t>
        </w:r>
      </w:hyperlink>
    </w:p>
  </w:endnote>
  <w:endnote w:id="26">
    <w:p w14:paraId="0720939A" w14:textId="1C04BDE6" w:rsidR="00A11487" w:rsidRPr="00F073AA" w:rsidRDefault="00A11487" w:rsidP="00F073AA">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22" w:history="1">
        <w:r w:rsidRPr="00F073AA">
          <w:rPr>
            <w:rStyle w:val="Hyperlink"/>
            <w:rFonts w:ascii="Arial" w:hAnsi="Arial" w:cs="Arial"/>
            <w:color w:val="141760" w:themeColor="accent1"/>
          </w:rPr>
          <w:t>DownloadTemplate_4.pdf (cam.ac.uk)</w:t>
        </w:r>
      </w:hyperlink>
    </w:p>
  </w:endnote>
  <w:endnote w:id="27">
    <w:p w14:paraId="07CB1F70" w14:textId="77777777" w:rsidR="00A11487" w:rsidRPr="00F073AA" w:rsidRDefault="00A11487"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23" w:history="1">
        <w:r w:rsidRPr="00F073AA">
          <w:rPr>
            <w:rStyle w:val="Hyperlink"/>
            <w:rFonts w:ascii="Arial" w:hAnsi="Arial" w:cs="Arial"/>
            <w:color w:val="141760" w:themeColor="accent1"/>
          </w:rPr>
          <w:t>NF79 Moving insights from the over-55s (nhbc.co.uk)</w:t>
        </w:r>
      </w:hyperlink>
    </w:p>
  </w:endnote>
  <w:endnote w:id="28">
    <w:p w14:paraId="66EB5A80" w14:textId="77777777" w:rsidR="00A92D6C" w:rsidRPr="00F073AA" w:rsidRDefault="00A92D6C"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24" w:history="1">
        <w:r w:rsidRPr="00F073AA">
          <w:rPr>
            <w:rStyle w:val="Hyperlink"/>
            <w:rFonts w:ascii="Arial" w:hAnsi="Arial" w:cs="Arial"/>
            <w:color w:val="141760" w:themeColor="accent1"/>
          </w:rPr>
          <w:t>Hidden renters: The unseen faces of the rising older rental wave | Independent Age</w:t>
        </w:r>
      </w:hyperlink>
    </w:p>
  </w:endnote>
  <w:endnote w:id="29">
    <w:p w14:paraId="1BBA2FAC" w14:textId="77777777" w:rsidR="00526E23" w:rsidRPr="00F073AA" w:rsidRDefault="00526E23"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25" w:history="1">
        <w:r w:rsidRPr="00F073AA">
          <w:rPr>
            <w:rStyle w:val="Hyperlink"/>
            <w:rFonts w:ascii="Arial" w:hAnsi="Arial" w:cs="Arial"/>
            <w:color w:val="141760" w:themeColor="accent1"/>
          </w:rPr>
          <w:t>HOUSING-ASSOCIATIONS-AND-HOME-ADAPTATIONS-small.pdf (foundations.uk.com)</w:t>
        </w:r>
      </w:hyperlink>
    </w:p>
  </w:endnote>
  <w:endnote w:id="30">
    <w:p w14:paraId="50C3A26D" w14:textId="77777777" w:rsidR="00526E23" w:rsidRPr="00F073AA" w:rsidRDefault="00526E23"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26" w:history="1">
        <w:r w:rsidRPr="00F073AA">
          <w:rPr>
            <w:rStyle w:val="Hyperlink"/>
            <w:rFonts w:ascii="Arial" w:hAnsi="Arial" w:cs="Arial"/>
            <w:color w:val="141760" w:themeColor="accent1"/>
          </w:rPr>
          <w:t>EHS20-21_Older_People_s_Housing_-_Ch2_-_Tables.ods (live.com)</w:t>
        </w:r>
      </w:hyperlink>
    </w:p>
  </w:endnote>
  <w:endnote w:id="31">
    <w:p w14:paraId="085C2CF0" w14:textId="77777777" w:rsidR="00D9574B" w:rsidRPr="00F073AA" w:rsidRDefault="00D9574B"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27" w:anchor="housing-costs-and-affordability" w:history="1">
        <w:r w:rsidRPr="00F073AA">
          <w:rPr>
            <w:rStyle w:val="Hyperlink"/>
            <w:rFonts w:ascii="Arial" w:hAnsi="Arial" w:cs="Arial"/>
            <w:color w:val="141760" w:themeColor="accent1"/>
          </w:rPr>
          <w:t>English Housing Survey 2021 to 2022: private rented sector - GOV.UK (www.gov.uk)</w:t>
        </w:r>
      </w:hyperlink>
    </w:p>
  </w:endnote>
  <w:endnote w:id="32">
    <w:p w14:paraId="3BD8FA97" w14:textId="77777777" w:rsidR="00CC0092" w:rsidRPr="00F073AA" w:rsidRDefault="00CC0092"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28" w:history="1">
        <w:r w:rsidRPr="00F073AA">
          <w:rPr>
            <w:rStyle w:val="Hyperlink"/>
            <w:rFonts w:ascii="Arial" w:hAnsi="Arial" w:cs="Arial"/>
            <w:color w:val="141760" w:themeColor="accent1"/>
          </w:rPr>
          <w:t>Living longer - Office for National Statistics (ons.gov.uk)</w:t>
        </w:r>
      </w:hyperlink>
    </w:p>
  </w:endnote>
  <w:endnote w:id="33">
    <w:p w14:paraId="6EC0B1C4" w14:textId="77777777" w:rsidR="00730BAA" w:rsidRPr="00F073AA" w:rsidRDefault="00730BAA"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29" w:history="1">
        <w:r w:rsidRPr="00F073AA">
          <w:rPr>
            <w:rStyle w:val="Hyperlink"/>
            <w:rFonts w:ascii="Arial" w:hAnsi="Arial" w:cs="Arial"/>
            <w:color w:val="141760" w:themeColor="accent1"/>
          </w:rPr>
          <w:t>pensionspolicyinstitute.org.uk/media/fjgla1kv/202311-the-uk-pensions-framework-final2.pdf</w:t>
        </w:r>
      </w:hyperlink>
    </w:p>
  </w:endnote>
  <w:endnote w:id="34">
    <w:p w14:paraId="6F469020" w14:textId="77777777" w:rsidR="006531EC" w:rsidRPr="00F073AA" w:rsidRDefault="006531EC" w:rsidP="00D95185">
      <w:pPr>
        <w:pStyle w:val="EndnoteText"/>
        <w:rPr>
          <w:color w:val="141760" w:themeColor="accent1"/>
        </w:rPr>
      </w:pPr>
      <w:r w:rsidRPr="00F073AA">
        <w:rPr>
          <w:rStyle w:val="EndnoteReference"/>
          <w:rFonts w:ascii="Arial" w:hAnsi="Arial" w:cs="Arial"/>
          <w:color w:val="141760" w:themeColor="accent1"/>
        </w:rPr>
        <w:endnoteRef/>
      </w:r>
      <w:r w:rsidRPr="00F073AA">
        <w:rPr>
          <w:color w:val="141760" w:themeColor="accent1"/>
        </w:rPr>
        <w:t xml:space="preserve"> Age UK analysis of data drawn from wave 10 of the English Longitudinal Study of Ageing.</w:t>
      </w:r>
    </w:p>
  </w:endnote>
  <w:endnote w:id="35">
    <w:p w14:paraId="5696D095" w14:textId="5C4D2267" w:rsidR="0022769C" w:rsidRPr="00F073AA" w:rsidRDefault="0022769C" w:rsidP="00D95185">
      <w:pPr>
        <w:pStyle w:val="EndnoteText"/>
        <w:rPr>
          <w:color w:val="141760" w:themeColor="accent1"/>
        </w:rPr>
      </w:pPr>
      <w:r w:rsidRPr="00F073AA">
        <w:rPr>
          <w:rStyle w:val="EndnoteReference"/>
          <w:rFonts w:ascii="Arial" w:hAnsi="Arial" w:cs="Arial"/>
          <w:color w:val="141760" w:themeColor="accent1"/>
        </w:rPr>
        <w:endnoteRef/>
      </w:r>
      <w:r w:rsidRPr="00F073AA">
        <w:rPr>
          <w:color w:val="141760" w:themeColor="accent1"/>
        </w:rPr>
        <w:t xml:space="preserve"> </w:t>
      </w:r>
      <w:hyperlink r:id="rId30" w:history="1">
        <w:r w:rsidRPr="00F073AA">
          <w:rPr>
            <w:rStyle w:val="Hyperlink"/>
            <w:rFonts w:ascii="Arial" w:hAnsi="Arial" w:cs="Arial"/>
            <w:color w:val="141760" w:themeColor="accent1"/>
          </w:rPr>
          <w:t>Insight report: A forecast for accessible homes | Habinteg Housing Association</w:t>
        </w:r>
      </w:hyperlink>
    </w:p>
  </w:endnote>
  <w:endnote w:id="36">
    <w:p w14:paraId="21BEF27A" w14:textId="1D90159F" w:rsidR="0013035E" w:rsidRPr="00F073AA" w:rsidRDefault="0013035E"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31" w:history="1">
        <w:r w:rsidR="00812D8E" w:rsidRPr="00F073AA">
          <w:rPr>
            <w:rStyle w:val="Hyperlink"/>
            <w:rFonts w:ascii="Arial" w:hAnsi="Arial" w:cs="Arial"/>
            <w:color w:val="141760" w:themeColor="accent1"/>
          </w:rPr>
          <w:t>2018-19_EHS_Adaptations_and_Accessability_Fact_Sheet.pdf (publishing.service.gov.uk)</w:t>
        </w:r>
      </w:hyperlink>
    </w:p>
  </w:endnote>
  <w:endnote w:id="37">
    <w:p w14:paraId="4B197DF7" w14:textId="19098B61" w:rsidR="00202BB9" w:rsidRPr="00F073AA" w:rsidRDefault="00202BB9"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32" w:history="1">
        <w:r w:rsidRPr="00F073AA">
          <w:rPr>
            <w:rStyle w:val="Hyperlink"/>
            <w:rFonts w:ascii="Arial" w:hAnsi="Arial" w:cs="Arial"/>
            <w:color w:val="141760" w:themeColor="accent1"/>
          </w:rPr>
          <w:t>COVER (publishing.service.gov.uk)</w:t>
        </w:r>
      </w:hyperlink>
    </w:p>
  </w:endnote>
  <w:endnote w:id="38">
    <w:p w14:paraId="5C382828" w14:textId="2EC23216" w:rsidR="00A0548A" w:rsidRPr="00F073AA" w:rsidRDefault="00A0548A"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33" w:history="1">
        <w:r w:rsidRPr="00F073AA">
          <w:rPr>
            <w:rStyle w:val="Hyperlink"/>
            <w:rFonts w:ascii="Arial" w:hAnsi="Arial" w:cs="Arial"/>
            <w:color w:val="141760" w:themeColor="accent1"/>
          </w:rPr>
          <w:t>DFG_Review_2018_Summary.pdf (publishing.service.gov.uk)</w:t>
        </w:r>
      </w:hyperlink>
    </w:p>
  </w:endnote>
  <w:endnote w:id="39">
    <w:p w14:paraId="101825A2" w14:textId="56373F08" w:rsidR="00433C83" w:rsidRPr="00F073AA" w:rsidRDefault="00433C83"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34" w:history="1">
        <w:r w:rsidR="0013035E" w:rsidRPr="00F073AA">
          <w:rPr>
            <w:rStyle w:val="Hyperlink"/>
            <w:rFonts w:ascii="Arial" w:hAnsi="Arial" w:cs="Arial"/>
            <w:color w:val="141760" w:themeColor="accent1"/>
          </w:rPr>
          <w:t>the-disabled-facilities-grant-a-step-change-improving-delivery-of-the-disabled-facilities-grant.pdf (ageuk.org.uk)</w:t>
        </w:r>
      </w:hyperlink>
    </w:p>
  </w:endnote>
  <w:endnote w:id="40">
    <w:p w14:paraId="43C0A3EB" w14:textId="77777777" w:rsidR="00EB51B0" w:rsidRPr="00F073AA" w:rsidRDefault="00EB51B0" w:rsidP="00D95185">
      <w:pPr>
        <w:pStyle w:val="EndnoteText"/>
        <w:rPr>
          <w:color w:val="141760" w:themeColor="accent1"/>
        </w:rPr>
      </w:pPr>
      <w:r w:rsidRPr="00F073AA">
        <w:rPr>
          <w:rStyle w:val="EndnoteReference"/>
          <w:rFonts w:ascii="Arial" w:hAnsi="Arial" w:cs="Arial"/>
          <w:color w:val="141760" w:themeColor="accent1"/>
        </w:rPr>
        <w:endnoteRef/>
      </w:r>
      <w:r w:rsidRPr="00F073AA">
        <w:rPr>
          <w:color w:val="141760" w:themeColor="accent1"/>
        </w:rPr>
        <w:t xml:space="preserve"> </w:t>
      </w:r>
      <w:hyperlink r:id="rId35" w:history="1">
        <w:r w:rsidRPr="00F073AA">
          <w:rPr>
            <w:rStyle w:val="Hyperlink"/>
            <w:rFonts w:ascii="Arial" w:hAnsi="Arial" w:cs="Arial"/>
            <w:color w:val="141760" w:themeColor="accent1"/>
          </w:rPr>
          <w:t>Half of over 50s who want home renovations are ‘unable to afford’ them | Centre for Ageing Better (ageing-better.org.uk)</w:t>
        </w:r>
      </w:hyperlink>
    </w:p>
  </w:endnote>
  <w:endnote w:id="41">
    <w:p w14:paraId="775AC5BC" w14:textId="2382691F" w:rsidR="006F6386" w:rsidRPr="00F073AA" w:rsidRDefault="006F6386" w:rsidP="00D95185">
      <w:pPr>
        <w:pStyle w:val="EndnoteText"/>
        <w:rPr>
          <w:rFonts w:ascii="Arial" w:hAnsi="Arial" w:cs="Arial"/>
          <w:color w:val="141760" w:themeColor="accent1"/>
        </w:rPr>
      </w:pPr>
      <w:r w:rsidRPr="00F073AA">
        <w:rPr>
          <w:rStyle w:val="EndnoteReference"/>
          <w:rFonts w:ascii="Arial" w:hAnsi="Arial" w:cs="Arial"/>
          <w:color w:val="141760" w:themeColor="accent1"/>
        </w:rPr>
        <w:endnoteRef/>
      </w:r>
      <w:r w:rsidRPr="00F073AA">
        <w:rPr>
          <w:rFonts w:ascii="Arial" w:hAnsi="Arial" w:cs="Arial"/>
          <w:color w:val="141760" w:themeColor="accent1"/>
        </w:rPr>
        <w:t xml:space="preserve"> </w:t>
      </w:r>
      <w:hyperlink r:id="rId36" w:history="1">
        <w:r w:rsidR="00B520FF" w:rsidRPr="00F073AA">
          <w:rPr>
            <w:rStyle w:val="Hyperlink"/>
            <w:rFonts w:ascii="Arial" w:hAnsi="Arial" w:cs="Arial"/>
            <w:color w:val="141760" w:themeColor="accent1"/>
          </w:rPr>
          <w:t>English Housing Survey: Older people’s housing, 2020-21 (publishing.service.gov.uk)</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19C37" w14:textId="77777777" w:rsidR="009504A9" w:rsidRDefault="009504A9" w:rsidP="00D95185">
      <w:r>
        <w:separator/>
      </w:r>
    </w:p>
  </w:footnote>
  <w:footnote w:type="continuationSeparator" w:id="0">
    <w:p w14:paraId="77481357" w14:textId="77777777" w:rsidR="009504A9" w:rsidRDefault="009504A9" w:rsidP="00D95185">
      <w:r>
        <w:continuationSeparator/>
      </w:r>
    </w:p>
  </w:footnote>
  <w:footnote w:type="continuationNotice" w:id="1">
    <w:p w14:paraId="58398D8A" w14:textId="77777777" w:rsidR="009504A9" w:rsidRDefault="009504A9" w:rsidP="00D95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8CAF2" w14:textId="1AF0AA86" w:rsidR="00D95185" w:rsidRDefault="00D95185">
    <w:pPr>
      <w:pStyle w:val="Header"/>
    </w:pPr>
    <w:r>
      <w:rPr>
        <w:noProof/>
      </w:rPr>
      <w:drawing>
        <wp:anchor distT="0" distB="0" distL="114300" distR="114300" simplePos="0" relativeHeight="251659264" behindDoc="1" locked="0" layoutInCell="1" allowOverlap="1" wp14:anchorId="1DCA8C55" wp14:editId="033F1696">
          <wp:simplePos x="0" y="0"/>
          <wp:positionH relativeFrom="page">
            <wp:posOffset>4777740</wp:posOffset>
          </wp:positionH>
          <wp:positionV relativeFrom="page">
            <wp:posOffset>14605</wp:posOffset>
          </wp:positionV>
          <wp:extent cx="2776298" cy="1143000"/>
          <wp:effectExtent l="0" t="0" r="5080" b="0"/>
          <wp:wrapNone/>
          <wp:docPr id="206675654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12623"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76298" cy="1143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5995"/>
    <w:multiLevelType w:val="hybridMultilevel"/>
    <w:tmpl w:val="BA109D1E"/>
    <w:lvl w:ilvl="0" w:tplc="0809000F">
      <w:start w:val="1"/>
      <w:numFmt w:val="decimal"/>
      <w:lvlText w:val="%1."/>
      <w:lvlJc w:val="left"/>
      <w:pPr>
        <w:ind w:left="501"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28162F"/>
    <w:multiLevelType w:val="hybridMultilevel"/>
    <w:tmpl w:val="EAC4E814"/>
    <w:lvl w:ilvl="0" w:tplc="0809000F">
      <w:start w:val="1"/>
      <w:numFmt w:val="decimal"/>
      <w:lvlText w:val="%1."/>
      <w:lvlJc w:val="left"/>
      <w:pPr>
        <w:ind w:left="501"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7F5263"/>
    <w:multiLevelType w:val="hybridMultilevel"/>
    <w:tmpl w:val="A94436CC"/>
    <w:lvl w:ilvl="0" w:tplc="AF68D88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A60D15"/>
    <w:multiLevelType w:val="hybridMultilevel"/>
    <w:tmpl w:val="0BD8A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D340C3"/>
    <w:multiLevelType w:val="hybridMultilevel"/>
    <w:tmpl w:val="5B0A2396"/>
    <w:lvl w:ilvl="0" w:tplc="08090001">
      <w:start w:val="1"/>
      <w:numFmt w:val="bullet"/>
      <w:lvlText w:val=""/>
      <w:lvlJc w:val="left"/>
      <w:pPr>
        <w:ind w:left="1857" w:hanging="360"/>
      </w:pPr>
      <w:rPr>
        <w:rFonts w:ascii="Symbol" w:hAnsi="Symbol" w:hint="default"/>
      </w:rPr>
    </w:lvl>
    <w:lvl w:ilvl="1" w:tplc="08090003" w:tentative="1">
      <w:start w:val="1"/>
      <w:numFmt w:val="bullet"/>
      <w:lvlText w:val="o"/>
      <w:lvlJc w:val="left"/>
      <w:pPr>
        <w:ind w:left="2577" w:hanging="360"/>
      </w:pPr>
      <w:rPr>
        <w:rFonts w:ascii="Courier New" w:hAnsi="Courier New" w:cs="Courier New" w:hint="default"/>
      </w:rPr>
    </w:lvl>
    <w:lvl w:ilvl="2" w:tplc="08090005" w:tentative="1">
      <w:start w:val="1"/>
      <w:numFmt w:val="bullet"/>
      <w:lvlText w:val=""/>
      <w:lvlJc w:val="left"/>
      <w:pPr>
        <w:ind w:left="3297" w:hanging="360"/>
      </w:pPr>
      <w:rPr>
        <w:rFonts w:ascii="Wingdings" w:hAnsi="Wingdings" w:hint="default"/>
      </w:rPr>
    </w:lvl>
    <w:lvl w:ilvl="3" w:tplc="08090001" w:tentative="1">
      <w:start w:val="1"/>
      <w:numFmt w:val="bullet"/>
      <w:lvlText w:val=""/>
      <w:lvlJc w:val="left"/>
      <w:pPr>
        <w:ind w:left="4017" w:hanging="360"/>
      </w:pPr>
      <w:rPr>
        <w:rFonts w:ascii="Symbol" w:hAnsi="Symbol" w:hint="default"/>
      </w:rPr>
    </w:lvl>
    <w:lvl w:ilvl="4" w:tplc="08090003" w:tentative="1">
      <w:start w:val="1"/>
      <w:numFmt w:val="bullet"/>
      <w:lvlText w:val="o"/>
      <w:lvlJc w:val="left"/>
      <w:pPr>
        <w:ind w:left="4737" w:hanging="360"/>
      </w:pPr>
      <w:rPr>
        <w:rFonts w:ascii="Courier New" w:hAnsi="Courier New" w:cs="Courier New" w:hint="default"/>
      </w:rPr>
    </w:lvl>
    <w:lvl w:ilvl="5" w:tplc="08090005" w:tentative="1">
      <w:start w:val="1"/>
      <w:numFmt w:val="bullet"/>
      <w:lvlText w:val=""/>
      <w:lvlJc w:val="left"/>
      <w:pPr>
        <w:ind w:left="5457" w:hanging="360"/>
      </w:pPr>
      <w:rPr>
        <w:rFonts w:ascii="Wingdings" w:hAnsi="Wingdings" w:hint="default"/>
      </w:rPr>
    </w:lvl>
    <w:lvl w:ilvl="6" w:tplc="08090001" w:tentative="1">
      <w:start w:val="1"/>
      <w:numFmt w:val="bullet"/>
      <w:lvlText w:val=""/>
      <w:lvlJc w:val="left"/>
      <w:pPr>
        <w:ind w:left="6177" w:hanging="360"/>
      </w:pPr>
      <w:rPr>
        <w:rFonts w:ascii="Symbol" w:hAnsi="Symbol" w:hint="default"/>
      </w:rPr>
    </w:lvl>
    <w:lvl w:ilvl="7" w:tplc="08090003" w:tentative="1">
      <w:start w:val="1"/>
      <w:numFmt w:val="bullet"/>
      <w:lvlText w:val="o"/>
      <w:lvlJc w:val="left"/>
      <w:pPr>
        <w:ind w:left="6897" w:hanging="360"/>
      </w:pPr>
      <w:rPr>
        <w:rFonts w:ascii="Courier New" w:hAnsi="Courier New" w:cs="Courier New" w:hint="default"/>
      </w:rPr>
    </w:lvl>
    <w:lvl w:ilvl="8" w:tplc="08090005" w:tentative="1">
      <w:start w:val="1"/>
      <w:numFmt w:val="bullet"/>
      <w:lvlText w:val=""/>
      <w:lvlJc w:val="left"/>
      <w:pPr>
        <w:ind w:left="7617" w:hanging="360"/>
      </w:pPr>
      <w:rPr>
        <w:rFonts w:ascii="Wingdings" w:hAnsi="Wingdings" w:hint="default"/>
      </w:rPr>
    </w:lvl>
  </w:abstractNum>
  <w:abstractNum w:abstractNumId="5" w15:restartNumberingAfterBreak="0">
    <w:nsid w:val="1ED51111"/>
    <w:multiLevelType w:val="hybridMultilevel"/>
    <w:tmpl w:val="FB44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B1ADF"/>
    <w:multiLevelType w:val="hybridMultilevel"/>
    <w:tmpl w:val="9306C2CA"/>
    <w:lvl w:ilvl="0" w:tplc="DC647280">
      <w:start w:val="5"/>
      <w:numFmt w:val="bullet"/>
      <w:lvlText w:val="-"/>
      <w:lvlJc w:val="left"/>
      <w:pPr>
        <w:ind w:left="1080" w:hanging="360"/>
      </w:pPr>
      <w:rPr>
        <w:rFonts w:ascii="Aptos" w:eastAsiaTheme="minorHAnsi" w:hAnsi="Apto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B231EFB"/>
    <w:multiLevelType w:val="hybridMultilevel"/>
    <w:tmpl w:val="2D0A4A86"/>
    <w:lvl w:ilvl="0" w:tplc="A92EFF16">
      <w:start w:val="1"/>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2B34054"/>
    <w:multiLevelType w:val="hybridMultilevel"/>
    <w:tmpl w:val="6E60D93C"/>
    <w:lvl w:ilvl="0" w:tplc="5B2CFCC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982C20"/>
    <w:multiLevelType w:val="hybridMultilevel"/>
    <w:tmpl w:val="0AE2E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D3A0B61"/>
    <w:multiLevelType w:val="hybridMultilevel"/>
    <w:tmpl w:val="742C50E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3FE16ACA"/>
    <w:multiLevelType w:val="hybridMultilevel"/>
    <w:tmpl w:val="3C16861E"/>
    <w:lvl w:ilvl="0" w:tplc="2DF8EE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4016CA"/>
    <w:multiLevelType w:val="hybridMultilevel"/>
    <w:tmpl w:val="DC845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8D134C"/>
    <w:multiLevelType w:val="hybridMultilevel"/>
    <w:tmpl w:val="E56C264C"/>
    <w:lvl w:ilvl="0" w:tplc="0809000F">
      <w:start w:val="1"/>
      <w:numFmt w:val="decimal"/>
      <w:lvlText w:val="%1."/>
      <w:lvlJc w:val="left"/>
      <w:pPr>
        <w:ind w:left="861" w:hanging="360"/>
      </w:p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4" w15:restartNumberingAfterBreak="0">
    <w:nsid w:val="45272AEC"/>
    <w:multiLevelType w:val="hybridMultilevel"/>
    <w:tmpl w:val="A76C8986"/>
    <w:lvl w:ilvl="0" w:tplc="DC647280">
      <w:start w:val="5"/>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B636AFB"/>
    <w:multiLevelType w:val="hybridMultilevel"/>
    <w:tmpl w:val="D1564DCC"/>
    <w:lvl w:ilvl="0" w:tplc="CCC2DCE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4C11643A"/>
    <w:multiLevelType w:val="hybridMultilevel"/>
    <w:tmpl w:val="EF86A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A35510"/>
    <w:multiLevelType w:val="multilevel"/>
    <w:tmpl w:val="202C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3D12B4"/>
    <w:multiLevelType w:val="hybridMultilevel"/>
    <w:tmpl w:val="854A092E"/>
    <w:lvl w:ilvl="0" w:tplc="DC647280">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0F11CD"/>
    <w:multiLevelType w:val="hybridMultilevel"/>
    <w:tmpl w:val="16C25C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B8D0251"/>
    <w:multiLevelType w:val="hybridMultilevel"/>
    <w:tmpl w:val="0282A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EE06B4"/>
    <w:multiLevelType w:val="hybridMultilevel"/>
    <w:tmpl w:val="FFECBE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D013DE8"/>
    <w:multiLevelType w:val="hybridMultilevel"/>
    <w:tmpl w:val="6352AB4C"/>
    <w:lvl w:ilvl="0" w:tplc="0809000F">
      <w:start w:val="1"/>
      <w:numFmt w:val="decimal"/>
      <w:lvlText w:val="%1."/>
      <w:lvlJc w:val="left"/>
      <w:pPr>
        <w:ind w:left="861" w:hanging="360"/>
      </w:p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3" w15:restartNumberingAfterBreak="0">
    <w:nsid w:val="5DB07AA4"/>
    <w:multiLevelType w:val="hybridMultilevel"/>
    <w:tmpl w:val="1598BF22"/>
    <w:lvl w:ilvl="0" w:tplc="DC647280">
      <w:start w:val="5"/>
      <w:numFmt w:val="bullet"/>
      <w:lvlText w:val="-"/>
      <w:lvlJc w:val="left"/>
      <w:pPr>
        <w:ind w:left="720" w:hanging="360"/>
      </w:pPr>
      <w:rPr>
        <w:rFonts w:ascii="Aptos" w:eastAsiaTheme="minorHAnsi" w:hAnsi="Apto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3049B2"/>
    <w:multiLevelType w:val="hybridMultilevel"/>
    <w:tmpl w:val="0F686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7F1916"/>
    <w:multiLevelType w:val="hybridMultilevel"/>
    <w:tmpl w:val="FF48F3B6"/>
    <w:lvl w:ilvl="0" w:tplc="0809000F">
      <w:start w:val="1"/>
      <w:numFmt w:val="decimal"/>
      <w:lvlText w:val="%1."/>
      <w:lvlJc w:val="left"/>
      <w:pPr>
        <w:ind w:left="501"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371FC2"/>
    <w:multiLevelType w:val="multilevel"/>
    <w:tmpl w:val="38FA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8E7DCB"/>
    <w:multiLevelType w:val="hybridMultilevel"/>
    <w:tmpl w:val="4FF27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E5D4430"/>
    <w:multiLevelType w:val="hybridMultilevel"/>
    <w:tmpl w:val="51D492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FEE5E64"/>
    <w:multiLevelType w:val="hybridMultilevel"/>
    <w:tmpl w:val="3C40EF80"/>
    <w:lvl w:ilvl="0" w:tplc="FFFFFFFF">
      <w:start w:val="1"/>
      <w:numFmt w:val="bullet"/>
      <w:lvlText w:val=""/>
      <w:lvlJc w:val="left"/>
      <w:pPr>
        <w:ind w:left="720" w:hanging="360"/>
      </w:pPr>
      <w:rPr>
        <w:rFonts w:ascii="Symbol" w:hAnsi="Symbol" w:hint="default"/>
      </w:rPr>
    </w:lvl>
    <w:lvl w:ilvl="1" w:tplc="A92EFF16">
      <w:start w:val="1"/>
      <w:numFmt w:val="bullet"/>
      <w:lvlText w:val="-"/>
      <w:lvlJc w:val="left"/>
      <w:pPr>
        <w:ind w:left="1080" w:hanging="360"/>
      </w:pPr>
      <w:rPr>
        <w:rFonts w:ascii="Aptos" w:eastAsiaTheme="minorHAnsi" w:hAnsi="Aptos" w:cstheme="minorBid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73223A97"/>
    <w:multiLevelType w:val="hybridMultilevel"/>
    <w:tmpl w:val="E6D2C5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E86211"/>
    <w:multiLevelType w:val="hybridMultilevel"/>
    <w:tmpl w:val="2DD6E616"/>
    <w:lvl w:ilvl="0" w:tplc="08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2" w15:restartNumberingAfterBreak="0">
    <w:nsid w:val="7C4A6352"/>
    <w:multiLevelType w:val="hybridMultilevel"/>
    <w:tmpl w:val="12EA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ED2972"/>
    <w:multiLevelType w:val="hybridMultilevel"/>
    <w:tmpl w:val="F6BA07A2"/>
    <w:lvl w:ilvl="0" w:tplc="1BC00A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F413F6A"/>
    <w:multiLevelType w:val="hybridMultilevel"/>
    <w:tmpl w:val="ADFC250A"/>
    <w:lvl w:ilvl="0" w:tplc="3CFE4D1A">
      <w:start w:val="1"/>
      <w:numFmt w:val="decimal"/>
      <w:lvlText w:val="%1."/>
      <w:lvlJc w:val="left"/>
      <w:pPr>
        <w:ind w:left="501"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2136556">
    <w:abstractNumId w:val="8"/>
  </w:num>
  <w:num w:numId="2" w16cid:durableId="1271204320">
    <w:abstractNumId w:val="21"/>
  </w:num>
  <w:num w:numId="3" w16cid:durableId="940380860">
    <w:abstractNumId w:val="32"/>
  </w:num>
  <w:num w:numId="4" w16cid:durableId="856582510">
    <w:abstractNumId w:val="20"/>
  </w:num>
  <w:num w:numId="5" w16cid:durableId="1734887670">
    <w:abstractNumId w:val="19"/>
  </w:num>
  <w:num w:numId="6" w16cid:durableId="333725654">
    <w:abstractNumId w:val="9"/>
  </w:num>
  <w:num w:numId="7" w16cid:durableId="8724955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744885">
    <w:abstractNumId w:val="6"/>
  </w:num>
  <w:num w:numId="9" w16cid:durableId="802231211">
    <w:abstractNumId w:val="10"/>
  </w:num>
  <w:num w:numId="10" w16cid:durableId="19976803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1613659">
    <w:abstractNumId w:val="6"/>
  </w:num>
  <w:num w:numId="12" w16cid:durableId="973294475">
    <w:abstractNumId w:val="15"/>
  </w:num>
  <w:num w:numId="13" w16cid:durableId="454521370">
    <w:abstractNumId w:val="5"/>
  </w:num>
  <w:num w:numId="14" w16cid:durableId="493226851">
    <w:abstractNumId w:val="11"/>
  </w:num>
  <w:num w:numId="15" w16cid:durableId="1948004091">
    <w:abstractNumId w:val="33"/>
  </w:num>
  <w:num w:numId="16" w16cid:durableId="571038921">
    <w:abstractNumId w:val="7"/>
  </w:num>
  <w:num w:numId="17" w16cid:durableId="113865260">
    <w:abstractNumId w:val="14"/>
  </w:num>
  <w:num w:numId="18" w16cid:durableId="1702121152">
    <w:abstractNumId w:val="27"/>
  </w:num>
  <w:num w:numId="19" w16cid:durableId="655693448">
    <w:abstractNumId w:val="34"/>
  </w:num>
  <w:num w:numId="20" w16cid:durableId="509179994">
    <w:abstractNumId w:val="2"/>
  </w:num>
  <w:num w:numId="21" w16cid:durableId="1556774040">
    <w:abstractNumId w:val="3"/>
  </w:num>
  <w:num w:numId="22" w16cid:durableId="385766345">
    <w:abstractNumId w:val="17"/>
  </w:num>
  <w:num w:numId="23" w16cid:durableId="410464957">
    <w:abstractNumId w:val="26"/>
  </w:num>
  <w:num w:numId="24" w16cid:durableId="2079476684">
    <w:abstractNumId w:val="30"/>
  </w:num>
  <w:num w:numId="25" w16cid:durableId="894240344">
    <w:abstractNumId w:val="23"/>
  </w:num>
  <w:num w:numId="26" w16cid:durableId="1735929515">
    <w:abstractNumId w:val="4"/>
  </w:num>
  <w:num w:numId="27" w16cid:durableId="940139318">
    <w:abstractNumId w:val="18"/>
  </w:num>
  <w:num w:numId="28" w16cid:durableId="1799372751">
    <w:abstractNumId w:val="31"/>
  </w:num>
  <w:num w:numId="29" w16cid:durableId="2001960165">
    <w:abstractNumId w:val="29"/>
  </w:num>
  <w:num w:numId="30" w16cid:durableId="85808165">
    <w:abstractNumId w:val="0"/>
  </w:num>
  <w:num w:numId="31" w16cid:durableId="1257594545">
    <w:abstractNumId w:val="1"/>
  </w:num>
  <w:num w:numId="32" w16cid:durableId="568809652">
    <w:abstractNumId w:val="13"/>
  </w:num>
  <w:num w:numId="33" w16cid:durableId="452557715">
    <w:abstractNumId w:val="25"/>
  </w:num>
  <w:num w:numId="34" w16cid:durableId="1368339614">
    <w:abstractNumId w:val="16"/>
  </w:num>
  <w:num w:numId="35" w16cid:durableId="1323003770">
    <w:abstractNumId w:val="22"/>
  </w:num>
  <w:num w:numId="36" w16cid:durableId="1021123817">
    <w:abstractNumId w:val="12"/>
  </w:num>
  <w:num w:numId="37" w16cid:durableId="7230190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11"/>
    <w:rsid w:val="00000D1B"/>
    <w:rsid w:val="00002960"/>
    <w:rsid w:val="00002FA2"/>
    <w:rsid w:val="000037D7"/>
    <w:rsid w:val="000060DD"/>
    <w:rsid w:val="000079D4"/>
    <w:rsid w:val="00010962"/>
    <w:rsid w:val="00010B0B"/>
    <w:rsid w:val="000128B9"/>
    <w:rsid w:val="000129F3"/>
    <w:rsid w:val="000152FD"/>
    <w:rsid w:val="0001646B"/>
    <w:rsid w:val="00016C25"/>
    <w:rsid w:val="00017064"/>
    <w:rsid w:val="00017E64"/>
    <w:rsid w:val="0002097B"/>
    <w:rsid w:val="0002169A"/>
    <w:rsid w:val="000219E4"/>
    <w:rsid w:val="0002591E"/>
    <w:rsid w:val="0002715F"/>
    <w:rsid w:val="00030CE2"/>
    <w:rsid w:val="00032163"/>
    <w:rsid w:val="00034843"/>
    <w:rsid w:val="00034A88"/>
    <w:rsid w:val="000367A7"/>
    <w:rsid w:val="000370D7"/>
    <w:rsid w:val="000378FD"/>
    <w:rsid w:val="00037A8D"/>
    <w:rsid w:val="00037B64"/>
    <w:rsid w:val="00040E92"/>
    <w:rsid w:val="00046E03"/>
    <w:rsid w:val="00050223"/>
    <w:rsid w:val="00051040"/>
    <w:rsid w:val="00052282"/>
    <w:rsid w:val="00052936"/>
    <w:rsid w:val="00052FCA"/>
    <w:rsid w:val="0005340D"/>
    <w:rsid w:val="000545C7"/>
    <w:rsid w:val="0005513A"/>
    <w:rsid w:val="00056646"/>
    <w:rsid w:val="00056E42"/>
    <w:rsid w:val="00057539"/>
    <w:rsid w:val="000604A8"/>
    <w:rsid w:val="00060778"/>
    <w:rsid w:val="00060B4A"/>
    <w:rsid w:val="00063847"/>
    <w:rsid w:val="00063F84"/>
    <w:rsid w:val="00063FE0"/>
    <w:rsid w:val="00064457"/>
    <w:rsid w:val="00070225"/>
    <w:rsid w:val="0007280B"/>
    <w:rsid w:val="00072988"/>
    <w:rsid w:val="000729EB"/>
    <w:rsid w:val="00074A26"/>
    <w:rsid w:val="00074BE2"/>
    <w:rsid w:val="0007700C"/>
    <w:rsid w:val="00077684"/>
    <w:rsid w:val="00081B20"/>
    <w:rsid w:val="0008300C"/>
    <w:rsid w:val="00084434"/>
    <w:rsid w:val="00084986"/>
    <w:rsid w:val="00085933"/>
    <w:rsid w:val="00092F8A"/>
    <w:rsid w:val="00093C5A"/>
    <w:rsid w:val="00095FA8"/>
    <w:rsid w:val="0009652E"/>
    <w:rsid w:val="000969AE"/>
    <w:rsid w:val="00096F93"/>
    <w:rsid w:val="0009706F"/>
    <w:rsid w:val="000A08CA"/>
    <w:rsid w:val="000A4868"/>
    <w:rsid w:val="000A520A"/>
    <w:rsid w:val="000A5FDB"/>
    <w:rsid w:val="000A6908"/>
    <w:rsid w:val="000A7393"/>
    <w:rsid w:val="000A7774"/>
    <w:rsid w:val="000A77CE"/>
    <w:rsid w:val="000A7AF6"/>
    <w:rsid w:val="000B0D5B"/>
    <w:rsid w:val="000B0DAA"/>
    <w:rsid w:val="000B38CD"/>
    <w:rsid w:val="000B423A"/>
    <w:rsid w:val="000B4CB7"/>
    <w:rsid w:val="000B51CA"/>
    <w:rsid w:val="000B52AB"/>
    <w:rsid w:val="000B56FC"/>
    <w:rsid w:val="000B5AE5"/>
    <w:rsid w:val="000B677F"/>
    <w:rsid w:val="000B6CE6"/>
    <w:rsid w:val="000C3EA3"/>
    <w:rsid w:val="000C4911"/>
    <w:rsid w:val="000C5340"/>
    <w:rsid w:val="000C5C18"/>
    <w:rsid w:val="000C5E2F"/>
    <w:rsid w:val="000D01A9"/>
    <w:rsid w:val="000D1A55"/>
    <w:rsid w:val="000D2981"/>
    <w:rsid w:val="000D43EB"/>
    <w:rsid w:val="000D4CC7"/>
    <w:rsid w:val="000D6047"/>
    <w:rsid w:val="000D63EE"/>
    <w:rsid w:val="000E1E30"/>
    <w:rsid w:val="000E21F8"/>
    <w:rsid w:val="000E301C"/>
    <w:rsid w:val="000E3BE4"/>
    <w:rsid w:val="000E4A85"/>
    <w:rsid w:val="000F0577"/>
    <w:rsid w:val="000F1D0E"/>
    <w:rsid w:val="000F2BB8"/>
    <w:rsid w:val="000F65A7"/>
    <w:rsid w:val="00101890"/>
    <w:rsid w:val="00103444"/>
    <w:rsid w:val="00103749"/>
    <w:rsid w:val="00103D55"/>
    <w:rsid w:val="001044FD"/>
    <w:rsid w:val="001047E7"/>
    <w:rsid w:val="00104F59"/>
    <w:rsid w:val="0010504A"/>
    <w:rsid w:val="00106724"/>
    <w:rsid w:val="0011060C"/>
    <w:rsid w:val="001113A2"/>
    <w:rsid w:val="0011226B"/>
    <w:rsid w:val="001123DD"/>
    <w:rsid w:val="00112ECF"/>
    <w:rsid w:val="00114596"/>
    <w:rsid w:val="00115316"/>
    <w:rsid w:val="00115720"/>
    <w:rsid w:val="001158FA"/>
    <w:rsid w:val="00115CF8"/>
    <w:rsid w:val="00115F17"/>
    <w:rsid w:val="001170F8"/>
    <w:rsid w:val="00117DAA"/>
    <w:rsid w:val="00120141"/>
    <w:rsid w:val="001207C5"/>
    <w:rsid w:val="001216E0"/>
    <w:rsid w:val="00121898"/>
    <w:rsid w:val="00122132"/>
    <w:rsid w:val="0012336B"/>
    <w:rsid w:val="001238C6"/>
    <w:rsid w:val="00123E75"/>
    <w:rsid w:val="001251DC"/>
    <w:rsid w:val="00126EB8"/>
    <w:rsid w:val="00127222"/>
    <w:rsid w:val="0012799C"/>
    <w:rsid w:val="0013035E"/>
    <w:rsid w:val="00130E87"/>
    <w:rsid w:val="00131BC1"/>
    <w:rsid w:val="0013267E"/>
    <w:rsid w:val="00132F1E"/>
    <w:rsid w:val="00133C13"/>
    <w:rsid w:val="00134535"/>
    <w:rsid w:val="00134A0F"/>
    <w:rsid w:val="0013649D"/>
    <w:rsid w:val="00136DD8"/>
    <w:rsid w:val="0013790B"/>
    <w:rsid w:val="00137B38"/>
    <w:rsid w:val="00137BD7"/>
    <w:rsid w:val="00140070"/>
    <w:rsid w:val="00141D57"/>
    <w:rsid w:val="00142715"/>
    <w:rsid w:val="001436E5"/>
    <w:rsid w:val="001453A0"/>
    <w:rsid w:val="0014579C"/>
    <w:rsid w:val="00152C66"/>
    <w:rsid w:val="001550E5"/>
    <w:rsid w:val="001624D0"/>
    <w:rsid w:val="00164DB7"/>
    <w:rsid w:val="00165223"/>
    <w:rsid w:val="00166F77"/>
    <w:rsid w:val="00170298"/>
    <w:rsid w:val="00170842"/>
    <w:rsid w:val="00175053"/>
    <w:rsid w:val="00175834"/>
    <w:rsid w:val="00175F9C"/>
    <w:rsid w:val="001805BE"/>
    <w:rsid w:val="00180711"/>
    <w:rsid w:val="00180DB7"/>
    <w:rsid w:val="00181A99"/>
    <w:rsid w:val="00182A25"/>
    <w:rsid w:val="001834CF"/>
    <w:rsid w:val="001852F2"/>
    <w:rsid w:val="00186BE8"/>
    <w:rsid w:val="00186F9E"/>
    <w:rsid w:val="00187FBD"/>
    <w:rsid w:val="00191847"/>
    <w:rsid w:val="001923D7"/>
    <w:rsid w:val="001936AA"/>
    <w:rsid w:val="00193C1B"/>
    <w:rsid w:val="001948A0"/>
    <w:rsid w:val="001954B2"/>
    <w:rsid w:val="001956D9"/>
    <w:rsid w:val="001962A5"/>
    <w:rsid w:val="00196AF3"/>
    <w:rsid w:val="001A05F3"/>
    <w:rsid w:val="001A105A"/>
    <w:rsid w:val="001A1AE8"/>
    <w:rsid w:val="001A1DEC"/>
    <w:rsid w:val="001A3B5B"/>
    <w:rsid w:val="001A575E"/>
    <w:rsid w:val="001A5DA1"/>
    <w:rsid w:val="001A5F1B"/>
    <w:rsid w:val="001A7513"/>
    <w:rsid w:val="001B024F"/>
    <w:rsid w:val="001B1BFC"/>
    <w:rsid w:val="001B2A40"/>
    <w:rsid w:val="001B42DC"/>
    <w:rsid w:val="001B4378"/>
    <w:rsid w:val="001B4EB2"/>
    <w:rsid w:val="001B54FD"/>
    <w:rsid w:val="001B69E1"/>
    <w:rsid w:val="001C251C"/>
    <w:rsid w:val="001C3AD7"/>
    <w:rsid w:val="001C3B1A"/>
    <w:rsid w:val="001C419D"/>
    <w:rsid w:val="001C4F62"/>
    <w:rsid w:val="001C4FC3"/>
    <w:rsid w:val="001C7D1C"/>
    <w:rsid w:val="001D0946"/>
    <w:rsid w:val="001D1D31"/>
    <w:rsid w:val="001D24E4"/>
    <w:rsid w:val="001D26AC"/>
    <w:rsid w:val="001D3CE8"/>
    <w:rsid w:val="001D4111"/>
    <w:rsid w:val="001D719F"/>
    <w:rsid w:val="001D766E"/>
    <w:rsid w:val="001D7890"/>
    <w:rsid w:val="001E2404"/>
    <w:rsid w:val="001E3245"/>
    <w:rsid w:val="001E4151"/>
    <w:rsid w:val="001E4E86"/>
    <w:rsid w:val="001E636A"/>
    <w:rsid w:val="001E66F5"/>
    <w:rsid w:val="001E6EA5"/>
    <w:rsid w:val="001E7584"/>
    <w:rsid w:val="001F1CFE"/>
    <w:rsid w:val="001F2D59"/>
    <w:rsid w:val="001F2DB5"/>
    <w:rsid w:val="001F3216"/>
    <w:rsid w:val="001F35A0"/>
    <w:rsid w:val="001F392C"/>
    <w:rsid w:val="001F4978"/>
    <w:rsid w:val="001F58E9"/>
    <w:rsid w:val="001F70C2"/>
    <w:rsid w:val="001F7C8B"/>
    <w:rsid w:val="002004D9"/>
    <w:rsid w:val="002012F7"/>
    <w:rsid w:val="00202ADF"/>
    <w:rsid w:val="00202BB9"/>
    <w:rsid w:val="0020354F"/>
    <w:rsid w:val="00203FE9"/>
    <w:rsid w:val="002043EF"/>
    <w:rsid w:val="00205795"/>
    <w:rsid w:val="00207176"/>
    <w:rsid w:val="0021086F"/>
    <w:rsid w:val="00211599"/>
    <w:rsid w:val="002119EF"/>
    <w:rsid w:val="00212805"/>
    <w:rsid w:val="0021465D"/>
    <w:rsid w:val="00216113"/>
    <w:rsid w:val="00217025"/>
    <w:rsid w:val="00217077"/>
    <w:rsid w:val="00217D6B"/>
    <w:rsid w:val="00223AF1"/>
    <w:rsid w:val="00224BB1"/>
    <w:rsid w:val="00225DCD"/>
    <w:rsid w:val="0022769C"/>
    <w:rsid w:val="00227942"/>
    <w:rsid w:val="0023039B"/>
    <w:rsid w:val="0023318D"/>
    <w:rsid w:val="00234128"/>
    <w:rsid w:val="002346FE"/>
    <w:rsid w:val="00236993"/>
    <w:rsid w:val="00237366"/>
    <w:rsid w:val="0023762E"/>
    <w:rsid w:val="002417DA"/>
    <w:rsid w:val="0024382F"/>
    <w:rsid w:val="0024385A"/>
    <w:rsid w:val="00243A23"/>
    <w:rsid w:val="00244809"/>
    <w:rsid w:val="002454AF"/>
    <w:rsid w:val="0024614A"/>
    <w:rsid w:val="0025146C"/>
    <w:rsid w:val="00253908"/>
    <w:rsid w:val="00254FEF"/>
    <w:rsid w:val="002576A4"/>
    <w:rsid w:val="0026027D"/>
    <w:rsid w:val="0026242D"/>
    <w:rsid w:val="002624F2"/>
    <w:rsid w:val="002649BE"/>
    <w:rsid w:val="002653B5"/>
    <w:rsid w:val="00265605"/>
    <w:rsid w:val="00265854"/>
    <w:rsid w:val="00267EB9"/>
    <w:rsid w:val="00270116"/>
    <w:rsid w:val="00272A36"/>
    <w:rsid w:val="00273785"/>
    <w:rsid w:val="00274B2C"/>
    <w:rsid w:val="00274CBB"/>
    <w:rsid w:val="002753D0"/>
    <w:rsid w:val="00280926"/>
    <w:rsid w:val="00281361"/>
    <w:rsid w:val="0028244B"/>
    <w:rsid w:val="002844ED"/>
    <w:rsid w:val="00286111"/>
    <w:rsid w:val="0028655E"/>
    <w:rsid w:val="00286DAB"/>
    <w:rsid w:val="002905AD"/>
    <w:rsid w:val="0029359E"/>
    <w:rsid w:val="0029362D"/>
    <w:rsid w:val="00293C4C"/>
    <w:rsid w:val="00294644"/>
    <w:rsid w:val="002947E0"/>
    <w:rsid w:val="00294978"/>
    <w:rsid w:val="00295786"/>
    <w:rsid w:val="00296260"/>
    <w:rsid w:val="00296ABE"/>
    <w:rsid w:val="002A0855"/>
    <w:rsid w:val="002A0B0D"/>
    <w:rsid w:val="002A1F2A"/>
    <w:rsid w:val="002A35CF"/>
    <w:rsid w:val="002A3901"/>
    <w:rsid w:val="002A45FD"/>
    <w:rsid w:val="002A4E4E"/>
    <w:rsid w:val="002A51E6"/>
    <w:rsid w:val="002A5DB4"/>
    <w:rsid w:val="002A6099"/>
    <w:rsid w:val="002A68FA"/>
    <w:rsid w:val="002B0797"/>
    <w:rsid w:val="002B0A62"/>
    <w:rsid w:val="002B0ABF"/>
    <w:rsid w:val="002B0EC5"/>
    <w:rsid w:val="002B5647"/>
    <w:rsid w:val="002C05EE"/>
    <w:rsid w:val="002C27B9"/>
    <w:rsid w:val="002C3575"/>
    <w:rsid w:val="002C6269"/>
    <w:rsid w:val="002D39CE"/>
    <w:rsid w:val="002D3E46"/>
    <w:rsid w:val="002D60F7"/>
    <w:rsid w:val="002D724C"/>
    <w:rsid w:val="002E00EA"/>
    <w:rsid w:val="002E048C"/>
    <w:rsid w:val="002E0D4B"/>
    <w:rsid w:val="002E1696"/>
    <w:rsid w:val="002E2316"/>
    <w:rsid w:val="002E3B65"/>
    <w:rsid w:val="002E4C15"/>
    <w:rsid w:val="002E4E57"/>
    <w:rsid w:val="002E5895"/>
    <w:rsid w:val="002E704B"/>
    <w:rsid w:val="002F11F5"/>
    <w:rsid w:val="002F2742"/>
    <w:rsid w:val="002F3ED4"/>
    <w:rsid w:val="002F4206"/>
    <w:rsid w:val="002F4306"/>
    <w:rsid w:val="002F5163"/>
    <w:rsid w:val="002F65A8"/>
    <w:rsid w:val="002F70E2"/>
    <w:rsid w:val="002F7BEF"/>
    <w:rsid w:val="00300347"/>
    <w:rsid w:val="003012D1"/>
    <w:rsid w:val="00301584"/>
    <w:rsid w:val="00301FB7"/>
    <w:rsid w:val="00303680"/>
    <w:rsid w:val="00305265"/>
    <w:rsid w:val="003066F9"/>
    <w:rsid w:val="003073BD"/>
    <w:rsid w:val="00307B0C"/>
    <w:rsid w:val="00311B0C"/>
    <w:rsid w:val="00312A77"/>
    <w:rsid w:val="00313847"/>
    <w:rsid w:val="003145CA"/>
    <w:rsid w:val="003152C4"/>
    <w:rsid w:val="00316B56"/>
    <w:rsid w:val="0031750F"/>
    <w:rsid w:val="00321D64"/>
    <w:rsid w:val="00322897"/>
    <w:rsid w:val="003230F3"/>
    <w:rsid w:val="00323F4B"/>
    <w:rsid w:val="00325EA2"/>
    <w:rsid w:val="00327EB1"/>
    <w:rsid w:val="003306E9"/>
    <w:rsid w:val="003310FB"/>
    <w:rsid w:val="00333FC1"/>
    <w:rsid w:val="003359B9"/>
    <w:rsid w:val="00335B5D"/>
    <w:rsid w:val="00335D09"/>
    <w:rsid w:val="00336AF4"/>
    <w:rsid w:val="00337414"/>
    <w:rsid w:val="003377E2"/>
    <w:rsid w:val="00337EDD"/>
    <w:rsid w:val="003415D1"/>
    <w:rsid w:val="003439FA"/>
    <w:rsid w:val="00344A80"/>
    <w:rsid w:val="00345EC4"/>
    <w:rsid w:val="003466EB"/>
    <w:rsid w:val="00347C0A"/>
    <w:rsid w:val="00347F7D"/>
    <w:rsid w:val="00353334"/>
    <w:rsid w:val="00355210"/>
    <w:rsid w:val="003554A9"/>
    <w:rsid w:val="0035583D"/>
    <w:rsid w:val="003568EA"/>
    <w:rsid w:val="00356B70"/>
    <w:rsid w:val="00356FB7"/>
    <w:rsid w:val="003609AB"/>
    <w:rsid w:val="00361939"/>
    <w:rsid w:val="00363D19"/>
    <w:rsid w:val="00363F97"/>
    <w:rsid w:val="00366C82"/>
    <w:rsid w:val="00367196"/>
    <w:rsid w:val="00367197"/>
    <w:rsid w:val="00373016"/>
    <w:rsid w:val="00373353"/>
    <w:rsid w:val="003747FF"/>
    <w:rsid w:val="0037489B"/>
    <w:rsid w:val="00377169"/>
    <w:rsid w:val="00381B4D"/>
    <w:rsid w:val="00382A64"/>
    <w:rsid w:val="00382DFF"/>
    <w:rsid w:val="003847DA"/>
    <w:rsid w:val="003860C6"/>
    <w:rsid w:val="00386CC9"/>
    <w:rsid w:val="0039384D"/>
    <w:rsid w:val="00393EF5"/>
    <w:rsid w:val="00394742"/>
    <w:rsid w:val="003A0241"/>
    <w:rsid w:val="003A02C3"/>
    <w:rsid w:val="003A2690"/>
    <w:rsid w:val="003A36BE"/>
    <w:rsid w:val="003A39A6"/>
    <w:rsid w:val="003A4304"/>
    <w:rsid w:val="003A46BE"/>
    <w:rsid w:val="003A65E5"/>
    <w:rsid w:val="003A6B82"/>
    <w:rsid w:val="003A73C4"/>
    <w:rsid w:val="003B06F5"/>
    <w:rsid w:val="003B0812"/>
    <w:rsid w:val="003B2F2C"/>
    <w:rsid w:val="003B3468"/>
    <w:rsid w:val="003B365A"/>
    <w:rsid w:val="003B39B8"/>
    <w:rsid w:val="003B554E"/>
    <w:rsid w:val="003B595D"/>
    <w:rsid w:val="003C169B"/>
    <w:rsid w:val="003C1DFC"/>
    <w:rsid w:val="003C1EAE"/>
    <w:rsid w:val="003C2F1F"/>
    <w:rsid w:val="003C41D0"/>
    <w:rsid w:val="003C4C66"/>
    <w:rsid w:val="003C4FAB"/>
    <w:rsid w:val="003C6CCA"/>
    <w:rsid w:val="003C7C01"/>
    <w:rsid w:val="003D12EF"/>
    <w:rsid w:val="003D1CCE"/>
    <w:rsid w:val="003D2D78"/>
    <w:rsid w:val="003D4194"/>
    <w:rsid w:val="003D4423"/>
    <w:rsid w:val="003D5F13"/>
    <w:rsid w:val="003D684C"/>
    <w:rsid w:val="003D72D7"/>
    <w:rsid w:val="003D76F3"/>
    <w:rsid w:val="003E146C"/>
    <w:rsid w:val="003E17FE"/>
    <w:rsid w:val="003E1C7C"/>
    <w:rsid w:val="003E23C3"/>
    <w:rsid w:val="003E29B8"/>
    <w:rsid w:val="003E2A29"/>
    <w:rsid w:val="003E2BFF"/>
    <w:rsid w:val="003E3316"/>
    <w:rsid w:val="003E5594"/>
    <w:rsid w:val="003E5BF5"/>
    <w:rsid w:val="003E76E3"/>
    <w:rsid w:val="003E794F"/>
    <w:rsid w:val="003F001E"/>
    <w:rsid w:val="003F12E8"/>
    <w:rsid w:val="003F17B6"/>
    <w:rsid w:val="003F208C"/>
    <w:rsid w:val="003F2396"/>
    <w:rsid w:val="003F2A99"/>
    <w:rsid w:val="003F2F38"/>
    <w:rsid w:val="003F55BC"/>
    <w:rsid w:val="003F603F"/>
    <w:rsid w:val="003F7EAD"/>
    <w:rsid w:val="00400542"/>
    <w:rsid w:val="00401150"/>
    <w:rsid w:val="004020A1"/>
    <w:rsid w:val="0040356C"/>
    <w:rsid w:val="00404073"/>
    <w:rsid w:val="0040577A"/>
    <w:rsid w:val="00405D2A"/>
    <w:rsid w:val="004069F9"/>
    <w:rsid w:val="00410277"/>
    <w:rsid w:val="00411100"/>
    <w:rsid w:val="004113DF"/>
    <w:rsid w:val="004115BE"/>
    <w:rsid w:val="00411FF2"/>
    <w:rsid w:val="00412115"/>
    <w:rsid w:val="00412B1C"/>
    <w:rsid w:val="00413950"/>
    <w:rsid w:val="004158A5"/>
    <w:rsid w:val="00416528"/>
    <w:rsid w:val="00417B2D"/>
    <w:rsid w:val="0042283C"/>
    <w:rsid w:val="00423157"/>
    <w:rsid w:val="00424B39"/>
    <w:rsid w:val="00427102"/>
    <w:rsid w:val="004273D3"/>
    <w:rsid w:val="00432A96"/>
    <w:rsid w:val="00432F11"/>
    <w:rsid w:val="004333A8"/>
    <w:rsid w:val="00433BD4"/>
    <w:rsid w:val="00433C83"/>
    <w:rsid w:val="00435B56"/>
    <w:rsid w:val="00440097"/>
    <w:rsid w:val="00440547"/>
    <w:rsid w:val="004414ED"/>
    <w:rsid w:val="00442B4A"/>
    <w:rsid w:val="004445EE"/>
    <w:rsid w:val="004452F3"/>
    <w:rsid w:val="00447656"/>
    <w:rsid w:val="004518D0"/>
    <w:rsid w:val="00452471"/>
    <w:rsid w:val="00452D3C"/>
    <w:rsid w:val="0045332D"/>
    <w:rsid w:val="004541C5"/>
    <w:rsid w:val="00455363"/>
    <w:rsid w:val="00455E98"/>
    <w:rsid w:val="00456CDF"/>
    <w:rsid w:val="004573BE"/>
    <w:rsid w:val="004604E7"/>
    <w:rsid w:val="004613E8"/>
    <w:rsid w:val="00461C94"/>
    <w:rsid w:val="00463AE0"/>
    <w:rsid w:val="004642EB"/>
    <w:rsid w:val="00464841"/>
    <w:rsid w:val="00465E3C"/>
    <w:rsid w:val="004664F9"/>
    <w:rsid w:val="00470794"/>
    <w:rsid w:val="004709E2"/>
    <w:rsid w:val="00471C0D"/>
    <w:rsid w:val="00475294"/>
    <w:rsid w:val="004753CC"/>
    <w:rsid w:val="0047648F"/>
    <w:rsid w:val="004777C5"/>
    <w:rsid w:val="00477D79"/>
    <w:rsid w:val="00480CBF"/>
    <w:rsid w:val="00480D96"/>
    <w:rsid w:val="00481840"/>
    <w:rsid w:val="00481A0D"/>
    <w:rsid w:val="00482313"/>
    <w:rsid w:val="00482AB4"/>
    <w:rsid w:val="00483925"/>
    <w:rsid w:val="00483CA6"/>
    <w:rsid w:val="004844F0"/>
    <w:rsid w:val="00484720"/>
    <w:rsid w:val="0048677F"/>
    <w:rsid w:val="00486788"/>
    <w:rsid w:val="00486E4F"/>
    <w:rsid w:val="0049252C"/>
    <w:rsid w:val="004925A3"/>
    <w:rsid w:val="00494FF3"/>
    <w:rsid w:val="00495F71"/>
    <w:rsid w:val="00496C38"/>
    <w:rsid w:val="004A46B8"/>
    <w:rsid w:val="004A59C8"/>
    <w:rsid w:val="004A62D7"/>
    <w:rsid w:val="004A7CE5"/>
    <w:rsid w:val="004A7DA9"/>
    <w:rsid w:val="004B03C4"/>
    <w:rsid w:val="004B2098"/>
    <w:rsid w:val="004B2B64"/>
    <w:rsid w:val="004B3231"/>
    <w:rsid w:val="004B49E5"/>
    <w:rsid w:val="004B5B16"/>
    <w:rsid w:val="004B5CAE"/>
    <w:rsid w:val="004B6125"/>
    <w:rsid w:val="004B7329"/>
    <w:rsid w:val="004B7C86"/>
    <w:rsid w:val="004C0049"/>
    <w:rsid w:val="004C0DDE"/>
    <w:rsid w:val="004C1114"/>
    <w:rsid w:val="004C1E8F"/>
    <w:rsid w:val="004C2346"/>
    <w:rsid w:val="004C3B68"/>
    <w:rsid w:val="004C3B7B"/>
    <w:rsid w:val="004C44C7"/>
    <w:rsid w:val="004C4EE0"/>
    <w:rsid w:val="004C5C41"/>
    <w:rsid w:val="004D1227"/>
    <w:rsid w:val="004D2235"/>
    <w:rsid w:val="004D2C0E"/>
    <w:rsid w:val="004D30AD"/>
    <w:rsid w:val="004D45F3"/>
    <w:rsid w:val="004D625C"/>
    <w:rsid w:val="004D6393"/>
    <w:rsid w:val="004D63F7"/>
    <w:rsid w:val="004E0006"/>
    <w:rsid w:val="004E09D2"/>
    <w:rsid w:val="004E223A"/>
    <w:rsid w:val="004E3735"/>
    <w:rsid w:val="004E48AA"/>
    <w:rsid w:val="004F0201"/>
    <w:rsid w:val="004F18E8"/>
    <w:rsid w:val="004F22E4"/>
    <w:rsid w:val="004F4D98"/>
    <w:rsid w:val="004F5ADF"/>
    <w:rsid w:val="004F5C99"/>
    <w:rsid w:val="004F6017"/>
    <w:rsid w:val="004F623D"/>
    <w:rsid w:val="004F62F0"/>
    <w:rsid w:val="004F77D6"/>
    <w:rsid w:val="00500EA4"/>
    <w:rsid w:val="005014E2"/>
    <w:rsid w:val="005030CD"/>
    <w:rsid w:val="00504D59"/>
    <w:rsid w:val="00505D79"/>
    <w:rsid w:val="005062E1"/>
    <w:rsid w:val="00507049"/>
    <w:rsid w:val="00507677"/>
    <w:rsid w:val="005077E2"/>
    <w:rsid w:val="00507993"/>
    <w:rsid w:val="0051459E"/>
    <w:rsid w:val="00514767"/>
    <w:rsid w:val="0051478F"/>
    <w:rsid w:val="00515E05"/>
    <w:rsid w:val="005167F6"/>
    <w:rsid w:val="0052015F"/>
    <w:rsid w:val="00520379"/>
    <w:rsid w:val="0052049D"/>
    <w:rsid w:val="00522462"/>
    <w:rsid w:val="00522853"/>
    <w:rsid w:val="005236C2"/>
    <w:rsid w:val="00523957"/>
    <w:rsid w:val="00523A9F"/>
    <w:rsid w:val="00526479"/>
    <w:rsid w:val="00526C75"/>
    <w:rsid w:val="00526E23"/>
    <w:rsid w:val="0052752B"/>
    <w:rsid w:val="00532187"/>
    <w:rsid w:val="0053290D"/>
    <w:rsid w:val="00534899"/>
    <w:rsid w:val="00534EB3"/>
    <w:rsid w:val="0053664F"/>
    <w:rsid w:val="0053709B"/>
    <w:rsid w:val="00537698"/>
    <w:rsid w:val="00542DCF"/>
    <w:rsid w:val="005431F0"/>
    <w:rsid w:val="0054388D"/>
    <w:rsid w:val="00544BED"/>
    <w:rsid w:val="0055032F"/>
    <w:rsid w:val="005525B0"/>
    <w:rsid w:val="005539B7"/>
    <w:rsid w:val="00553D15"/>
    <w:rsid w:val="005551CA"/>
    <w:rsid w:val="005561DA"/>
    <w:rsid w:val="005622DD"/>
    <w:rsid w:val="00562CE7"/>
    <w:rsid w:val="005630CA"/>
    <w:rsid w:val="005638A4"/>
    <w:rsid w:val="00563906"/>
    <w:rsid w:val="00564E1F"/>
    <w:rsid w:val="005656B3"/>
    <w:rsid w:val="005679F9"/>
    <w:rsid w:val="00570347"/>
    <w:rsid w:val="00571662"/>
    <w:rsid w:val="00574A95"/>
    <w:rsid w:val="00574C95"/>
    <w:rsid w:val="005755C1"/>
    <w:rsid w:val="00575835"/>
    <w:rsid w:val="00576FF0"/>
    <w:rsid w:val="0058054B"/>
    <w:rsid w:val="005809E5"/>
    <w:rsid w:val="00582BA5"/>
    <w:rsid w:val="0058477B"/>
    <w:rsid w:val="0058508E"/>
    <w:rsid w:val="00585ADD"/>
    <w:rsid w:val="00586532"/>
    <w:rsid w:val="00586A3E"/>
    <w:rsid w:val="00587736"/>
    <w:rsid w:val="00587983"/>
    <w:rsid w:val="00590E69"/>
    <w:rsid w:val="00591850"/>
    <w:rsid w:val="005918A0"/>
    <w:rsid w:val="00593049"/>
    <w:rsid w:val="00593708"/>
    <w:rsid w:val="0059435D"/>
    <w:rsid w:val="00594880"/>
    <w:rsid w:val="00596D47"/>
    <w:rsid w:val="00597375"/>
    <w:rsid w:val="0059755E"/>
    <w:rsid w:val="005A0BD3"/>
    <w:rsid w:val="005A1FFB"/>
    <w:rsid w:val="005A247D"/>
    <w:rsid w:val="005A349D"/>
    <w:rsid w:val="005A5569"/>
    <w:rsid w:val="005A60D9"/>
    <w:rsid w:val="005B2B87"/>
    <w:rsid w:val="005B3B98"/>
    <w:rsid w:val="005B3F3A"/>
    <w:rsid w:val="005B41F8"/>
    <w:rsid w:val="005B4355"/>
    <w:rsid w:val="005B465E"/>
    <w:rsid w:val="005C0545"/>
    <w:rsid w:val="005C3F38"/>
    <w:rsid w:val="005C46F6"/>
    <w:rsid w:val="005C5551"/>
    <w:rsid w:val="005C5D5E"/>
    <w:rsid w:val="005C621A"/>
    <w:rsid w:val="005C65C9"/>
    <w:rsid w:val="005C6E59"/>
    <w:rsid w:val="005C7B34"/>
    <w:rsid w:val="005D0902"/>
    <w:rsid w:val="005D0B15"/>
    <w:rsid w:val="005D2595"/>
    <w:rsid w:val="005D3244"/>
    <w:rsid w:val="005D7026"/>
    <w:rsid w:val="005E1108"/>
    <w:rsid w:val="005E2BE3"/>
    <w:rsid w:val="005E2CC2"/>
    <w:rsid w:val="005E3452"/>
    <w:rsid w:val="005E3BCA"/>
    <w:rsid w:val="005E4F34"/>
    <w:rsid w:val="005E51FD"/>
    <w:rsid w:val="005E6B5C"/>
    <w:rsid w:val="005E7F01"/>
    <w:rsid w:val="005F01CC"/>
    <w:rsid w:val="005F0442"/>
    <w:rsid w:val="005F1403"/>
    <w:rsid w:val="005F2104"/>
    <w:rsid w:val="005F2C24"/>
    <w:rsid w:val="005F30E6"/>
    <w:rsid w:val="005F3135"/>
    <w:rsid w:val="005F4E9E"/>
    <w:rsid w:val="005F62B4"/>
    <w:rsid w:val="005F77C7"/>
    <w:rsid w:val="005F7F10"/>
    <w:rsid w:val="0060014A"/>
    <w:rsid w:val="0060118F"/>
    <w:rsid w:val="00602DD4"/>
    <w:rsid w:val="00606AE9"/>
    <w:rsid w:val="00607434"/>
    <w:rsid w:val="00607E0D"/>
    <w:rsid w:val="00610FF6"/>
    <w:rsid w:val="006129AE"/>
    <w:rsid w:val="00613C34"/>
    <w:rsid w:val="00613C7C"/>
    <w:rsid w:val="00613DBA"/>
    <w:rsid w:val="00614FDD"/>
    <w:rsid w:val="00616692"/>
    <w:rsid w:val="00616CD8"/>
    <w:rsid w:val="006210AA"/>
    <w:rsid w:val="00621F0A"/>
    <w:rsid w:val="006224C5"/>
    <w:rsid w:val="00623AAE"/>
    <w:rsid w:val="00623CED"/>
    <w:rsid w:val="006269D7"/>
    <w:rsid w:val="006327F3"/>
    <w:rsid w:val="00633164"/>
    <w:rsid w:val="00634A0E"/>
    <w:rsid w:val="00636898"/>
    <w:rsid w:val="00637399"/>
    <w:rsid w:val="00637941"/>
    <w:rsid w:val="00642841"/>
    <w:rsid w:val="006432F4"/>
    <w:rsid w:val="006434DB"/>
    <w:rsid w:val="00647164"/>
    <w:rsid w:val="006473EB"/>
    <w:rsid w:val="0064745E"/>
    <w:rsid w:val="006517BC"/>
    <w:rsid w:val="006531EC"/>
    <w:rsid w:val="006543DC"/>
    <w:rsid w:val="006544C1"/>
    <w:rsid w:val="00654F8E"/>
    <w:rsid w:val="00655679"/>
    <w:rsid w:val="0065640C"/>
    <w:rsid w:val="00664700"/>
    <w:rsid w:val="00665329"/>
    <w:rsid w:val="00665EAF"/>
    <w:rsid w:val="00667236"/>
    <w:rsid w:val="00670F2D"/>
    <w:rsid w:val="00672A08"/>
    <w:rsid w:val="0067347C"/>
    <w:rsid w:val="00674064"/>
    <w:rsid w:val="00674D33"/>
    <w:rsid w:val="006750D5"/>
    <w:rsid w:val="00675D1C"/>
    <w:rsid w:val="0067613D"/>
    <w:rsid w:val="006771A6"/>
    <w:rsid w:val="00677218"/>
    <w:rsid w:val="00677DC8"/>
    <w:rsid w:val="00681561"/>
    <w:rsid w:val="0068202F"/>
    <w:rsid w:val="006838AF"/>
    <w:rsid w:val="006868C3"/>
    <w:rsid w:val="00687811"/>
    <w:rsid w:val="00687C05"/>
    <w:rsid w:val="00690BA2"/>
    <w:rsid w:val="00690FBF"/>
    <w:rsid w:val="006914D8"/>
    <w:rsid w:val="006936D5"/>
    <w:rsid w:val="00693F8A"/>
    <w:rsid w:val="00694812"/>
    <w:rsid w:val="006A0D9B"/>
    <w:rsid w:val="006A3BE5"/>
    <w:rsid w:val="006A42B3"/>
    <w:rsid w:val="006A4346"/>
    <w:rsid w:val="006A46EB"/>
    <w:rsid w:val="006A5523"/>
    <w:rsid w:val="006A6BEC"/>
    <w:rsid w:val="006A6F52"/>
    <w:rsid w:val="006B20B6"/>
    <w:rsid w:val="006B2D92"/>
    <w:rsid w:val="006B35BD"/>
    <w:rsid w:val="006B4A4B"/>
    <w:rsid w:val="006B4BA4"/>
    <w:rsid w:val="006B634B"/>
    <w:rsid w:val="006B6556"/>
    <w:rsid w:val="006B7ED4"/>
    <w:rsid w:val="006C1D97"/>
    <w:rsid w:val="006C2209"/>
    <w:rsid w:val="006C27C0"/>
    <w:rsid w:val="006C3118"/>
    <w:rsid w:val="006C4992"/>
    <w:rsid w:val="006C4C4F"/>
    <w:rsid w:val="006C5BDD"/>
    <w:rsid w:val="006C6108"/>
    <w:rsid w:val="006C6AAD"/>
    <w:rsid w:val="006C75BD"/>
    <w:rsid w:val="006C7AFA"/>
    <w:rsid w:val="006D0CF2"/>
    <w:rsid w:val="006D135C"/>
    <w:rsid w:val="006D441C"/>
    <w:rsid w:val="006D6A66"/>
    <w:rsid w:val="006E00C7"/>
    <w:rsid w:val="006E08C4"/>
    <w:rsid w:val="006E1878"/>
    <w:rsid w:val="006E1913"/>
    <w:rsid w:val="006E4362"/>
    <w:rsid w:val="006E53E9"/>
    <w:rsid w:val="006E571C"/>
    <w:rsid w:val="006E5E54"/>
    <w:rsid w:val="006E6BEA"/>
    <w:rsid w:val="006F037D"/>
    <w:rsid w:val="006F0CAA"/>
    <w:rsid w:val="006F2B65"/>
    <w:rsid w:val="006F3618"/>
    <w:rsid w:val="006F48EC"/>
    <w:rsid w:val="006F4C28"/>
    <w:rsid w:val="006F6386"/>
    <w:rsid w:val="006F6895"/>
    <w:rsid w:val="006F6C10"/>
    <w:rsid w:val="006F6E77"/>
    <w:rsid w:val="006F7650"/>
    <w:rsid w:val="00700E07"/>
    <w:rsid w:val="00701335"/>
    <w:rsid w:val="00701E92"/>
    <w:rsid w:val="007052B4"/>
    <w:rsid w:val="00706C7F"/>
    <w:rsid w:val="00706D03"/>
    <w:rsid w:val="00707266"/>
    <w:rsid w:val="00707C59"/>
    <w:rsid w:val="00710950"/>
    <w:rsid w:val="00710F47"/>
    <w:rsid w:val="00711F52"/>
    <w:rsid w:val="0071219A"/>
    <w:rsid w:val="007136A6"/>
    <w:rsid w:val="00713BAD"/>
    <w:rsid w:val="007141E1"/>
    <w:rsid w:val="007151B4"/>
    <w:rsid w:val="007153F2"/>
    <w:rsid w:val="0072069A"/>
    <w:rsid w:val="0072107D"/>
    <w:rsid w:val="007211CE"/>
    <w:rsid w:val="007249B4"/>
    <w:rsid w:val="00725397"/>
    <w:rsid w:val="00725995"/>
    <w:rsid w:val="00726B83"/>
    <w:rsid w:val="007275A8"/>
    <w:rsid w:val="007302DC"/>
    <w:rsid w:val="007309DB"/>
    <w:rsid w:val="00730BAA"/>
    <w:rsid w:val="00731B77"/>
    <w:rsid w:val="00732C1C"/>
    <w:rsid w:val="00733968"/>
    <w:rsid w:val="007360CE"/>
    <w:rsid w:val="00740044"/>
    <w:rsid w:val="007404C3"/>
    <w:rsid w:val="007404D1"/>
    <w:rsid w:val="00740949"/>
    <w:rsid w:val="00742A11"/>
    <w:rsid w:val="007430A4"/>
    <w:rsid w:val="00743A5C"/>
    <w:rsid w:val="007450CC"/>
    <w:rsid w:val="00745328"/>
    <w:rsid w:val="0074629C"/>
    <w:rsid w:val="00746327"/>
    <w:rsid w:val="00750E4A"/>
    <w:rsid w:val="007528C2"/>
    <w:rsid w:val="00753B2E"/>
    <w:rsid w:val="00754C25"/>
    <w:rsid w:val="0075714D"/>
    <w:rsid w:val="00757883"/>
    <w:rsid w:val="00760255"/>
    <w:rsid w:val="0076206A"/>
    <w:rsid w:val="007636B1"/>
    <w:rsid w:val="007642D3"/>
    <w:rsid w:val="007653FD"/>
    <w:rsid w:val="00765511"/>
    <w:rsid w:val="0076570F"/>
    <w:rsid w:val="00770129"/>
    <w:rsid w:val="00774E91"/>
    <w:rsid w:val="00774ED0"/>
    <w:rsid w:val="007752DB"/>
    <w:rsid w:val="0077671B"/>
    <w:rsid w:val="0078217E"/>
    <w:rsid w:val="00782708"/>
    <w:rsid w:val="007829DD"/>
    <w:rsid w:val="00784A35"/>
    <w:rsid w:val="007855EF"/>
    <w:rsid w:val="007858AA"/>
    <w:rsid w:val="00785F0F"/>
    <w:rsid w:val="007917C3"/>
    <w:rsid w:val="0079220E"/>
    <w:rsid w:val="00792374"/>
    <w:rsid w:val="0079414B"/>
    <w:rsid w:val="00794C23"/>
    <w:rsid w:val="0079539B"/>
    <w:rsid w:val="007953E5"/>
    <w:rsid w:val="00795BE0"/>
    <w:rsid w:val="007961EF"/>
    <w:rsid w:val="007A07FA"/>
    <w:rsid w:val="007A293B"/>
    <w:rsid w:val="007A3A67"/>
    <w:rsid w:val="007A3FE2"/>
    <w:rsid w:val="007A43BC"/>
    <w:rsid w:val="007A7CFC"/>
    <w:rsid w:val="007B0028"/>
    <w:rsid w:val="007B004A"/>
    <w:rsid w:val="007B0632"/>
    <w:rsid w:val="007B56A9"/>
    <w:rsid w:val="007C0D27"/>
    <w:rsid w:val="007C150D"/>
    <w:rsid w:val="007C2AD7"/>
    <w:rsid w:val="007C2BD0"/>
    <w:rsid w:val="007C3217"/>
    <w:rsid w:val="007C4955"/>
    <w:rsid w:val="007C4B87"/>
    <w:rsid w:val="007D088F"/>
    <w:rsid w:val="007D0957"/>
    <w:rsid w:val="007D0FBA"/>
    <w:rsid w:val="007D196C"/>
    <w:rsid w:val="007D24B9"/>
    <w:rsid w:val="007D338F"/>
    <w:rsid w:val="007D38C6"/>
    <w:rsid w:val="007D3A24"/>
    <w:rsid w:val="007D568A"/>
    <w:rsid w:val="007E1145"/>
    <w:rsid w:val="007E34F7"/>
    <w:rsid w:val="007E3DBD"/>
    <w:rsid w:val="007E5A6B"/>
    <w:rsid w:val="007E64C1"/>
    <w:rsid w:val="007E687D"/>
    <w:rsid w:val="007E73FB"/>
    <w:rsid w:val="007E7EB6"/>
    <w:rsid w:val="007F1A2F"/>
    <w:rsid w:val="007F2367"/>
    <w:rsid w:val="007F36BF"/>
    <w:rsid w:val="007F62F8"/>
    <w:rsid w:val="007F6529"/>
    <w:rsid w:val="008039F0"/>
    <w:rsid w:val="008066F2"/>
    <w:rsid w:val="008108D4"/>
    <w:rsid w:val="008111A2"/>
    <w:rsid w:val="008115BB"/>
    <w:rsid w:val="00811BCB"/>
    <w:rsid w:val="0081223B"/>
    <w:rsid w:val="00812D8E"/>
    <w:rsid w:val="0081400F"/>
    <w:rsid w:val="00815ABD"/>
    <w:rsid w:val="00815D42"/>
    <w:rsid w:val="0081605C"/>
    <w:rsid w:val="00816064"/>
    <w:rsid w:val="0081762C"/>
    <w:rsid w:val="0082089D"/>
    <w:rsid w:val="00820B53"/>
    <w:rsid w:val="008210FD"/>
    <w:rsid w:val="0082247A"/>
    <w:rsid w:val="00822E1C"/>
    <w:rsid w:val="0082300A"/>
    <w:rsid w:val="0082378B"/>
    <w:rsid w:val="008238DD"/>
    <w:rsid w:val="0082451F"/>
    <w:rsid w:val="0082468B"/>
    <w:rsid w:val="00827BED"/>
    <w:rsid w:val="008329CE"/>
    <w:rsid w:val="00832EC1"/>
    <w:rsid w:val="00833611"/>
    <w:rsid w:val="00833A9B"/>
    <w:rsid w:val="00833D4C"/>
    <w:rsid w:val="00836BF8"/>
    <w:rsid w:val="0083710D"/>
    <w:rsid w:val="008415F1"/>
    <w:rsid w:val="00841AA4"/>
    <w:rsid w:val="00842BD5"/>
    <w:rsid w:val="00843CBB"/>
    <w:rsid w:val="00847BBC"/>
    <w:rsid w:val="00847F10"/>
    <w:rsid w:val="00850759"/>
    <w:rsid w:val="00851FDC"/>
    <w:rsid w:val="0085315C"/>
    <w:rsid w:val="0085350A"/>
    <w:rsid w:val="0085508F"/>
    <w:rsid w:val="0085637C"/>
    <w:rsid w:val="00857DD3"/>
    <w:rsid w:val="00860C91"/>
    <w:rsid w:val="00861D25"/>
    <w:rsid w:val="00864022"/>
    <w:rsid w:val="0086417A"/>
    <w:rsid w:val="0086423F"/>
    <w:rsid w:val="0086706F"/>
    <w:rsid w:val="00871917"/>
    <w:rsid w:val="0087266E"/>
    <w:rsid w:val="00873312"/>
    <w:rsid w:val="008735E1"/>
    <w:rsid w:val="0087383F"/>
    <w:rsid w:val="00874D3C"/>
    <w:rsid w:val="00874DDF"/>
    <w:rsid w:val="008765E5"/>
    <w:rsid w:val="00876C95"/>
    <w:rsid w:val="00880CB4"/>
    <w:rsid w:val="00883EE6"/>
    <w:rsid w:val="008848F1"/>
    <w:rsid w:val="0088762A"/>
    <w:rsid w:val="00887FD4"/>
    <w:rsid w:val="008911FF"/>
    <w:rsid w:val="00891507"/>
    <w:rsid w:val="0089236F"/>
    <w:rsid w:val="00892427"/>
    <w:rsid w:val="008925BB"/>
    <w:rsid w:val="00892814"/>
    <w:rsid w:val="00893959"/>
    <w:rsid w:val="00895915"/>
    <w:rsid w:val="00895A8C"/>
    <w:rsid w:val="00896591"/>
    <w:rsid w:val="00896A07"/>
    <w:rsid w:val="008972CB"/>
    <w:rsid w:val="008975F4"/>
    <w:rsid w:val="00897AA3"/>
    <w:rsid w:val="008A034F"/>
    <w:rsid w:val="008A14E7"/>
    <w:rsid w:val="008A31ED"/>
    <w:rsid w:val="008A3EE2"/>
    <w:rsid w:val="008A5111"/>
    <w:rsid w:val="008A5C4E"/>
    <w:rsid w:val="008A5F27"/>
    <w:rsid w:val="008A676A"/>
    <w:rsid w:val="008A7E7D"/>
    <w:rsid w:val="008B14B2"/>
    <w:rsid w:val="008B1B76"/>
    <w:rsid w:val="008B5CF5"/>
    <w:rsid w:val="008B6648"/>
    <w:rsid w:val="008B6900"/>
    <w:rsid w:val="008C080F"/>
    <w:rsid w:val="008C0BD0"/>
    <w:rsid w:val="008C1549"/>
    <w:rsid w:val="008C29CE"/>
    <w:rsid w:val="008C2BF4"/>
    <w:rsid w:val="008C3883"/>
    <w:rsid w:val="008C3D4C"/>
    <w:rsid w:val="008C431B"/>
    <w:rsid w:val="008C5DE0"/>
    <w:rsid w:val="008C6DE9"/>
    <w:rsid w:val="008D1A0B"/>
    <w:rsid w:val="008D3216"/>
    <w:rsid w:val="008D33FB"/>
    <w:rsid w:val="008D34D8"/>
    <w:rsid w:val="008D39C8"/>
    <w:rsid w:val="008D569F"/>
    <w:rsid w:val="008D6DD3"/>
    <w:rsid w:val="008D7A64"/>
    <w:rsid w:val="008E25B9"/>
    <w:rsid w:val="008E3659"/>
    <w:rsid w:val="008E4845"/>
    <w:rsid w:val="008E4E1B"/>
    <w:rsid w:val="008E5BCF"/>
    <w:rsid w:val="008E6C81"/>
    <w:rsid w:val="008E72B6"/>
    <w:rsid w:val="008E7D07"/>
    <w:rsid w:val="008E7EE1"/>
    <w:rsid w:val="008F01B3"/>
    <w:rsid w:val="008F0FC4"/>
    <w:rsid w:val="008F1440"/>
    <w:rsid w:val="008F1A5A"/>
    <w:rsid w:val="008F3796"/>
    <w:rsid w:val="008F3A03"/>
    <w:rsid w:val="008F66A2"/>
    <w:rsid w:val="008F6ADC"/>
    <w:rsid w:val="008F7063"/>
    <w:rsid w:val="008F71AB"/>
    <w:rsid w:val="00900376"/>
    <w:rsid w:val="009045CE"/>
    <w:rsid w:val="009049D5"/>
    <w:rsid w:val="00907130"/>
    <w:rsid w:val="00907385"/>
    <w:rsid w:val="0091026B"/>
    <w:rsid w:val="00911BF5"/>
    <w:rsid w:val="0091209B"/>
    <w:rsid w:val="009139C6"/>
    <w:rsid w:val="00913D99"/>
    <w:rsid w:val="0091402B"/>
    <w:rsid w:val="00914056"/>
    <w:rsid w:val="0091409E"/>
    <w:rsid w:val="0091451F"/>
    <w:rsid w:val="009154AA"/>
    <w:rsid w:val="009157CD"/>
    <w:rsid w:val="00920FBB"/>
    <w:rsid w:val="009213A2"/>
    <w:rsid w:val="009234B7"/>
    <w:rsid w:val="00923BE4"/>
    <w:rsid w:val="00923F5C"/>
    <w:rsid w:val="00924E17"/>
    <w:rsid w:val="009260D8"/>
    <w:rsid w:val="0093258C"/>
    <w:rsid w:val="00932B0D"/>
    <w:rsid w:val="00934FA6"/>
    <w:rsid w:val="009351A0"/>
    <w:rsid w:val="0093527E"/>
    <w:rsid w:val="0093682E"/>
    <w:rsid w:val="00937766"/>
    <w:rsid w:val="009401B2"/>
    <w:rsid w:val="00940361"/>
    <w:rsid w:val="00940B45"/>
    <w:rsid w:val="00940C3F"/>
    <w:rsid w:val="00941743"/>
    <w:rsid w:val="00941E28"/>
    <w:rsid w:val="00941FE2"/>
    <w:rsid w:val="00943A63"/>
    <w:rsid w:val="0094585C"/>
    <w:rsid w:val="0094627F"/>
    <w:rsid w:val="00946F5F"/>
    <w:rsid w:val="00947434"/>
    <w:rsid w:val="00947DD8"/>
    <w:rsid w:val="009504A9"/>
    <w:rsid w:val="00950524"/>
    <w:rsid w:val="00950DD1"/>
    <w:rsid w:val="00952340"/>
    <w:rsid w:val="00952DA2"/>
    <w:rsid w:val="00957E6A"/>
    <w:rsid w:val="00960FE4"/>
    <w:rsid w:val="00961C6E"/>
    <w:rsid w:val="00961E34"/>
    <w:rsid w:val="0096287B"/>
    <w:rsid w:val="00963179"/>
    <w:rsid w:val="00963207"/>
    <w:rsid w:val="00963BD6"/>
    <w:rsid w:val="00963CBF"/>
    <w:rsid w:val="00965CAB"/>
    <w:rsid w:val="00965F62"/>
    <w:rsid w:val="00970589"/>
    <w:rsid w:val="00970FA1"/>
    <w:rsid w:val="00971A78"/>
    <w:rsid w:val="009735D9"/>
    <w:rsid w:val="00973BD7"/>
    <w:rsid w:val="00973C15"/>
    <w:rsid w:val="00973C77"/>
    <w:rsid w:val="00975BB7"/>
    <w:rsid w:val="00976191"/>
    <w:rsid w:val="00976F47"/>
    <w:rsid w:val="00977233"/>
    <w:rsid w:val="00977CC7"/>
    <w:rsid w:val="009803E6"/>
    <w:rsid w:val="00980C23"/>
    <w:rsid w:val="00980F5C"/>
    <w:rsid w:val="00980F5D"/>
    <w:rsid w:val="00981037"/>
    <w:rsid w:val="00982F39"/>
    <w:rsid w:val="00984A2B"/>
    <w:rsid w:val="00984C27"/>
    <w:rsid w:val="009903F0"/>
    <w:rsid w:val="00990CAE"/>
    <w:rsid w:val="009925B8"/>
    <w:rsid w:val="009929FA"/>
    <w:rsid w:val="009961D4"/>
    <w:rsid w:val="0099638F"/>
    <w:rsid w:val="00997117"/>
    <w:rsid w:val="009A14FF"/>
    <w:rsid w:val="009A2C41"/>
    <w:rsid w:val="009A33CC"/>
    <w:rsid w:val="009A3F82"/>
    <w:rsid w:val="009B04B6"/>
    <w:rsid w:val="009B2007"/>
    <w:rsid w:val="009B23C0"/>
    <w:rsid w:val="009B2FB3"/>
    <w:rsid w:val="009B30BF"/>
    <w:rsid w:val="009B3412"/>
    <w:rsid w:val="009B3C7B"/>
    <w:rsid w:val="009B3F9A"/>
    <w:rsid w:val="009B4F50"/>
    <w:rsid w:val="009B5BC0"/>
    <w:rsid w:val="009B6C65"/>
    <w:rsid w:val="009B7D9C"/>
    <w:rsid w:val="009B7FE8"/>
    <w:rsid w:val="009C05C2"/>
    <w:rsid w:val="009C09F9"/>
    <w:rsid w:val="009C17C9"/>
    <w:rsid w:val="009C1D7B"/>
    <w:rsid w:val="009C2823"/>
    <w:rsid w:val="009C355D"/>
    <w:rsid w:val="009C6F95"/>
    <w:rsid w:val="009C76A1"/>
    <w:rsid w:val="009C7C3A"/>
    <w:rsid w:val="009D06F5"/>
    <w:rsid w:val="009D095E"/>
    <w:rsid w:val="009D210C"/>
    <w:rsid w:val="009D4479"/>
    <w:rsid w:val="009D4B0D"/>
    <w:rsid w:val="009D55D2"/>
    <w:rsid w:val="009D649F"/>
    <w:rsid w:val="009E2D46"/>
    <w:rsid w:val="009E49AD"/>
    <w:rsid w:val="009E5907"/>
    <w:rsid w:val="009E5A4B"/>
    <w:rsid w:val="009E5A91"/>
    <w:rsid w:val="009E667E"/>
    <w:rsid w:val="009E7AB8"/>
    <w:rsid w:val="009F0FCC"/>
    <w:rsid w:val="009F1237"/>
    <w:rsid w:val="009F21CC"/>
    <w:rsid w:val="009F326A"/>
    <w:rsid w:val="009F441A"/>
    <w:rsid w:val="009F513E"/>
    <w:rsid w:val="009F678C"/>
    <w:rsid w:val="009F7BDF"/>
    <w:rsid w:val="009F7D52"/>
    <w:rsid w:val="00A0023E"/>
    <w:rsid w:val="00A013B1"/>
    <w:rsid w:val="00A02CC9"/>
    <w:rsid w:val="00A04C72"/>
    <w:rsid w:val="00A0548A"/>
    <w:rsid w:val="00A06908"/>
    <w:rsid w:val="00A1086F"/>
    <w:rsid w:val="00A10FE3"/>
    <w:rsid w:val="00A11487"/>
    <w:rsid w:val="00A11A53"/>
    <w:rsid w:val="00A13F3F"/>
    <w:rsid w:val="00A147D4"/>
    <w:rsid w:val="00A14A20"/>
    <w:rsid w:val="00A16958"/>
    <w:rsid w:val="00A17BEC"/>
    <w:rsid w:val="00A201CD"/>
    <w:rsid w:val="00A20D7B"/>
    <w:rsid w:val="00A20E16"/>
    <w:rsid w:val="00A20E7B"/>
    <w:rsid w:val="00A21E55"/>
    <w:rsid w:val="00A21F74"/>
    <w:rsid w:val="00A222AD"/>
    <w:rsid w:val="00A225EF"/>
    <w:rsid w:val="00A2441D"/>
    <w:rsid w:val="00A24AC5"/>
    <w:rsid w:val="00A26A89"/>
    <w:rsid w:val="00A3207E"/>
    <w:rsid w:val="00A32817"/>
    <w:rsid w:val="00A32D78"/>
    <w:rsid w:val="00A36640"/>
    <w:rsid w:val="00A37559"/>
    <w:rsid w:val="00A4388E"/>
    <w:rsid w:val="00A43DAD"/>
    <w:rsid w:val="00A43EEF"/>
    <w:rsid w:val="00A43F3A"/>
    <w:rsid w:val="00A44523"/>
    <w:rsid w:val="00A45801"/>
    <w:rsid w:val="00A45F3A"/>
    <w:rsid w:val="00A461B1"/>
    <w:rsid w:val="00A50364"/>
    <w:rsid w:val="00A5048C"/>
    <w:rsid w:val="00A517E1"/>
    <w:rsid w:val="00A539E0"/>
    <w:rsid w:val="00A54259"/>
    <w:rsid w:val="00A549CD"/>
    <w:rsid w:val="00A54B47"/>
    <w:rsid w:val="00A55539"/>
    <w:rsid w:val="00A55F26"/>
    <w:rsid w:val="00A55F56"/>
    <w:rsid w:val="00A60817"/>
    <w:rsid w:val="00A60963"/>
    <w:rsid w:val="00A60CC1"/>
    <w:rsid w:val="00A61160"/>
    <w:rsid w:val="00A623D1"/>
    <w:rsid w:val="00A62D15"/>
    <w:rsid w:val="00A6390C"/>
    <w:rsid w:val="00A63E7A"/>
    <w:rsid w:val="00A64A9D"/>
    <w:rsid w:val="00A66EB6"/>
    <w:rsid w:val="00A67247"/>
    <w:rsid w:val="00A70A21"/>
    <w:rsid w:val="00A73B9C"/>
    <w:rsid w:val="00A74157"/>
    <w:rsid w:val="00A749B0"/>
    <w:rsid w:val="00A77875"/>
    <w:rsid w:val="00A80950"/>
    <w:rsid w:val="00A8155E"/>
    <w:rsid w:val="00A84870"/>
    <w:rsid w:val="00A855DF"/>
    <w:rsid w:val="00A85EAC"/>
    <w:rsid w:val="00A86591"/>
    <w:rsid w:val="00A8732B"/>
    <w:rsid w:val="00A903F5"/>
    <w:rsid w:val="00A90AB2"/>
    <w:rsid w:val="00A92625"/>
    <w:rsid w:val="00A92D6C"/>
    <w:rsid w:val="00A93989"/>
    <w:rsid w:val="00A94E3D"/>
    <w:rsid w:val="00A9583A"/>
    <w:rsid w:val="00A96A0F"/>
    <w:rsid w:val="00A96D47"/>
    <w:rsid w:val="00A97039"/>
    <w:rsid w:val="00AA1EC9"/>
    <w:rsid w:val="00AA36A8"/>
    <w:rsid w:val="00AA5E31"/>
    <w:rsid w:val="00AA697B"/>
    <w:rsid w:val="00AA798D"/>
    <w:rsid w:val="00AA7CEB"/>
    <w:rsid w:val="00AB0B86"/>
    <w:rsid w:val="00AB0EEE"/>
    <w:rsid w:val="00AB1911"/>
    <w:rsid w:val="00AB2901"/>
    <w:rsid w:val="00AB2F17"/>
    <w:rsid w:val="00AB322D"/>
    <w:rsid w:val="00AB35D7"/>
    <w:rsid w:val="00AB48A8"/>
    <w:rsid w:val="00AB7288"/>
    <w:rsid w:val="00AB792D"/>
    <w:rsid w:val="00AC0EEF"/>
    <w:rsid w:val="00AC2F67"/>
    <w:rsid w:val="00AC351F"/>
    <w:rsid w:val="00AC358E"/>
    <w:rsid w:val="00AC466E"/>
    <w:rsid w:val="00AC4F4A"/>
    <w:rsid w:val="00AC55A0"/>
    <w:rsid w:val="00AC589C"/>
    <w:rsid w:val="00AC5F5A"/>
    <w:rsid w:val="00AC7B33"/>
    <w:rsid w:val="00AD01C7"/>
    <w:rsid w:val="00AD02B6"/>
    <w:rsid w:val="00AD0471"/>
    <w:rsid w:val="00AD24C1"/>
    <w:rsid w:val="00AD37E5"/>
    <w:rsid w:val="00AD3873"/>
    <w:rsid w:val="00AD56C7"/>
    <w:rsid w:val="00AD7EAA"/>
    <w:rsid w:val="00AD7F56"/>
    <w:rsid w:val="00AE1260"/>
    <w:rsid w:val="00AE26FE"/>
    <w:rsid w:val="00AE2EB1"/>
    <w:rsid w:val="00AE332D"/>
    <w:rsid w:val="00AE3EC5"/>
    <w:rsid w:val="00AE433A"/>
    <w:rsid w:val="00AE470F"/>
    <w:rsid w:val="00AE4DF4"/>
    <w:rsid w:val="00AE59B8"/>
    <w:rsid w:val="00AE5AA2"/>
    <w:rsid w:val="00AE5CC2"/>
    <w:rsid w:val="00AE7E93"/>
    <w:rsid w:val="00AF1E89"/>
    <w:rsid w:val="00AF34AE"/>
    <w:rsid w:val="00AF3D07"/>
    <w:rsid w:val="00AF4BB9"/>
    <w:rsid w:val="00AF666E"/>
    <w:rsid w:val="00AF6973"/>
    <w:rsid w:val="00B046C3"/>
    <w:rsid w:val="00B058A0"/>
    <w:rsid w:val="00B07FEB"/>
    <w:rsid w:val="00B14AA3"/>
    <w:rsid w:val="00B15BCE"/>
    <w:rsid w:val="00B178FC"/>
    <w:rsid w:val="00B21DCA"/>
    <w:rsid w:val="00B23BF0"/>
    <w:rsid w:val="00B25818"/>
    <w:rsid w:val="00B26B6C"/>
    <w:rsid w:val="00B30615"/>
    <w:rsid w:val="00B3161E"/>
    <w:rsid w:val="00B316E7"/>
    <w:rsid w:val="00B3211A"/>
    <w:rsid w:val="00B32645"/>
    <w:rsid w:val="00B3298B"/>
    <w:rsid w:val="00B33DEA"/>
    <w:rsid w:val="00B35CC1"/>
    <w:rsid w:val="00B368CF"/>
    <w:rsid w:val="00B37B37"/>
    <w:rsid w:val="00B37CDC"/>
    <w:rsid w:val="00B37FE9"/>
    <w:rsid w:val="00B40795"/>
    <w:rsid w:val="00B41555"/>
    <w:rsid w:val="00B41A53"/>
    <w:rsid w:val="00B44287"/>
    <w:rsid w:val="00B44B6B"/>
    <w:rsid w:val="00B44C5E"/>
    <w:rsid w:val="00B44C99"/>
    <w:rsid w:val="00B45461"/>
    <w:rsid w:val="00B4551A"/>
    <w:rsid w:val="00B46952"/>
    <w:rsid w:val="00B47876"/>
    <w:rsid w:val="00B51535"/>
    <w:rsid w:val="00B5199D"/>
    <w:rsid w:val="00B51D88"/>
    <w:rsid w:val="00B520FF"/>
    <w:rsid w:val="00B540CC"/>
    <w:rsid w:val="00B55CF0"/>
    <w:rsid w:val="00B56DAD"/>
    <w:rsid w:val="00B60072"/>
    <w:rsid w:val="00B604B8"/>
    <w:rsid w:val="00B60820"/>
    <w:rsid w:val="00B608D9"/>
    <w:rsid w:val="00B6123D"/>
    <w:rsid w:val="00B623CB"/>
    <w:rsid w:val="00B62BF4"/>
    <w:rsid w:val="00B646DA"/>
    <w:rsid w:val="00B6725C"/>
    <w:rsid w:val="00B67B5D"/>
    <w:rsid w:val="00B715C1"/>
    <w:rsid w:val="00B73C30"/>
    <w:rsid w:val="00B7423A"/>
    <w:rsid w:val="00B7582C"/>
    <w:rsid w:val="00B77AEF"/>
    <w:rsid w:val="00B80228"/>
    <w:rsid w:val="00B80413"/>
    <w:rsid w:val="00B810C8"/>
    <w:rsid w:val="00B81C8F"/>
    <w:rsid w:val="00B82AB1"/>
    <w:rsid w:val="00B82BCE"/>
    <w:rsid w:val="00B8727E"/>
    <w:rsid w:val="00B90FED"/>
    <w:rsid w:val="00B91055"/>
    <w:rsid w:val="00B91763"/>
    <w:rsid w:val="00B91A26"/>
    <w:rsid w:val="00B931BD"/>
    <w:rsid w:val="00B93A24"/>
    <w:rsid w:val="00B95979"/>
    <w:rsid w:val="00B96075"/>
    <w:rsid w:val="00BA0255"/>
    <w:rsid w:val="00BA1623"/>
    <w:rsid w:val="00BA1CFB"/>
    <w:rsid w:val="00BA2B6B"/>
    <w:rsid w:val="00BA68AC"/>
    <w:rsid w:val="00BB010E"/>
    <w:rsid w:val="00BB07AA"/>
    <w:rsid w:val="00BB0A70"/>
    <w:rsid w:val="00BB27F7"/>
    <w:rsid w:val="00BB3A74"/>
    <w:rsid w:val="00BB3F0F"/>
    <w:rsid w:val="00BB41F9"/>
    <w:rsid w:val="00BB431D"/>
    <w:rsid w:val="00BB5F0F"/>
    <w:rsid w:val="00BB617D"/>
    <w:rsid w:val="00BB6EFB"/>
    <w:rsid w:val="00BC1B22"/>
    <w:rsid w:val="00BC1F71"/>
    <w:rsid w:val="00BC20A9"/>
    <w:rsid w:val="00BC2448"/>
    <w:rsid w:val="00BC2540"/>
    <w:rsid w:val="00BC26CF"/>
    <w:rsid w:val="00BC2CB0"/>
    <w:rsid w:val="00BC410C"/>
    <w:rsid w:val="00BC45C7"/>
    <w:rsid w:val="00BC6CB0"/>
    <w:rsid w:val="00BD27F9"/>
    <w:rsid w:val="00BD306B"/>
    <w:rsid w:val="00BD710D"/>
    <w:rsid w:val="00BD759C"/>
    <w:rsid w:val="00BD79A4"/>
    <w:rsid w:val="00BE7F7B"/>
    <w:rsid w:val="00BF0305"/>
    <w:rsid w:val="00BF0FCF"/>
    <w:rsid w:val="00BF100C"/>
    <w:rsid w:val="00BF1894"/>
    <w:rsid w:val="00BF1F91"/>
    <w:rsid w:val="00BF471B"/>
    <w:rsid w:val="00BF5E18"/>
    <w:rsid w:val="00BF6896"/>
    <w:rsid w:val="00BF6ECB"/>
    <w:rsid w:val="00BF795C"/>
    <w:rsid w:val="00C0249B"/>
    <w:rsid w:val="00C04CF3"/>
    <w:rsid w:val="00C058D7"/>
    <w:rsid w:val="00C05E12"/>
    <w:rsid w:val="00C06105"/>
    <w:rsid w:val="00C06289"/>
    <w:rsid w:val="00C067BA"/>
    <w:rsid w:val="00C07DD9"/>
    <w:rsid w:val="00C1030D"/>
    <w:rsid w:val="00C117AA"/>
    <w:rsid w:val="00C1219C"/>
    <w:rsid w:val="00C12404"/>
    <w:rsid w:val="00C13DEB"/>
    <w:rsid w:val="00C17BDB"/>
    <w:rsid w:val="00C21F74"/>
    <w:rsid w:val="00C23106"/>
    <w:rsid w:val="00C242AB"/>
    <w:rsid w:val="00C24931"/>
    <w:rsid w:val="00C24A61"/>
    <w:rsid w:val="00C24CE7"/>
    <w:rsid w:val="00C25327"/>
    <w:rsid w:val="00C25A98"/>
    <w:rsid w:val="00C26376"/>
    <w:rsid w:val="00C26B35"/>
    <w:rsid w:val="00C27588"/>
    <w:rsid w:val="00C2760B"/>
    <w:rsid w:val="00C279F5"/>
    <w:rsid w:val="00C27FC3"/>
    <w:rsid w:val="00C30FE5"/>
    <w:rsid w:val="00C316CC"/>
    <w:rsid w:val="00C319C7"/>
    <w:rsid w:val="00C335B9"/>
    <w:rsid w:val="00C3448D"/>
    <w:rsid w:val="00C35523"/>
    <w:rsid w:val="00C36BDA"/>
    <w:rsid w:val="00C36D7B"/>
    <w:rsid w:val="00C40908"/>
    <w:rsid w:val="00C41077"/>
    <w:rsid w:val="00C41BA1"/>
    <w:rsid w:val="00C44B6F"/>
    <w:rsid w:val="00C47512"/>
    <w:rsid w:val="00C5058D"/>
    <w:rsid w:val="00C50F33"/>
    <w:rsid w:val="00C51EB0"/>
    <w:rsid w:val="00C5509C"/>
    <w:rsid w:val="00C56296"/>
    <w:rsid w:val="00C563CC"/>
    <w:rsid w:val="00C570C5"/>
    <w:rsid w:val="00C602A1"/>
    <w:rsid w:val="00C62A31"/>
    <w:rsid w:val="00C63C1E"/>
    <w:rsid w:val="00C63E78"/>
    <w:rsid w:val="00C64798"/>
    <w:rsid w:val="00C655F5"/>
    <w:rsid w:val="00C65FC7"/>
    <w:rsid w:val="00C662AD"/>
    <w:rsid w:val="00C66A0C"/>
    <w:rsid w:val="00C710C5"/>
    <w:rsid w:val="00C71710"/>
    <w:rsid w:val="00C725A2"/>
    <w:rsid w:val="00C72F5D"/>
    <w:rsid w:val="00C741A1"/>
    <w:rsid w:val="00C74675"/>
    <w:rsid w:val="00C74B96"/>
    <w:rsid w:val="00C80B1E"/>
    <w:rsid w:val="00C80FC6"/>
    <w:rsid w:val="00C81172"/>
    <w:rsid w:val="00C81227"/>
    <w:rsid w:val="00C824B7"/>
    <w:rsid w:val="00C82CA1"/>
    <w:rsid w:val="00C830A0"/>
    <w:rsid w:val="00C83535"/>
    <w:rsid w:val="00C85708"/>
    <w:rsid w:val="00C85E31"/>
    <w:rsid w:val="00C866E6"/>
    <w:rsid w:val="00C87735"/>
    <w:rsid w:val="00C878D0"/>
    <w:rsid w:val="00C91A98"/>
    <w:rsid w:val="00C924BC"/>
    <w:rsid w:val="00C94496"/>
    <w:rsid w:val="00C9477E"/>
    <w:rsid w:val="00CA0044"/>
    <w:rsid w:val="00CA301B"/>
    <w:rsid w:val="00CA3BFC"/>
    <w:rsid w:val="00CA4121"/>
    <w:rsid w:val="00CA610B"/>
    <w:rsid w:val="00CA71A0"/>
    <w:rsid w:val="00CA7736"/>
    <w:rsid w:val="00CB011C"/>
    <w:rsid w:val="00CB18AB"/>
    <w:rsid w:val="00CB2197"/>
    <w:rsid w:val="00CB2819"/>
    <w:rsid w:val="00CB3A3E"/>
    <w:rsid w:val="00CB6F64"/>
    <w:rsid w:val="00CB6F80"/>
    <w:rsid w:val="00CC0092"/>
    <w:rsid w:val="00CC063E"/>
    <w:rsid w:val="00CC1A4D"/>
    <w:rsid w:val="00CC1FED"/>
    <w:rsid w:val="00CC3079"/>
    <w:rsid w:val="00CC3F15"/>
    <w:rsid w:val="00CC419A"/>
    <w:rsid w:val="00CC4957"/>
    <w:rsid w:val="00CC5DF4"/>
    <w:rsid w:val="00CC6924"/>
    <w:rsid w:val="00CD25B8"/>
    <w:rsid w:val="00CD2B0D"/>
    <w:rsid w:val="00CD311C"/>
    <w:rsid w:val="00CD584C"/>
    <w:rsid w:val="00CD6365"/>
    <w:rsid w:val="00CD6683"/>
    <w:rsid w:val="00CE0CF4"/>
    <w:rsid w:val="00CE10F7"/>
    <w:rsid w:val="00CE4CC0"/>
    <w:rsid w:val="00CE57AD"/>
    <w:rsid w:val="00CE5B6F"/>
    <w:rsid w:val="00CE6176"/>
    <w:rsid w:val="00CE7C4C"/>
    <w:rsid w:val="00CF3BC9"/>
    <w:rsid w:val="00CF4660"/>
    <w:rsid w:val="00CF4E37"/>
    <w:rsid w:val="00CF53CB"/>
    <w:rsid w:val="00CF583C"/>
    <w:rsid w:val="00D046CF"/>
    <w:rsid w:val="00D0483F"/>
    <w:rsid w:val="00D05D2F"/>
    <w:rsid w:val="00D068D1"/>
    <w:rsid w:val="00D072E7"/>
    <w:rsid w:val="00D10F7A"/>
    <w:rsid w:val="00D137C2"/>
    <w:rsid w:val="00D15E7B"/>
    <w:rsid w:val="00D1634E"/>
    <w:rsid w:val="00D16C8E"/>
    <w:rsid w:val="00D20319"/>
    <w:rsid w:val="00D21F2D"/>
    <w:rsid w:val="00D21FF7"/>
    <w:rsid w:val="00D235F8"/>
    <w:rsid w:val="00D2429B"/>
    <w:rsid w:val="00D244B2"/>
    <w:rsid w:val="00D267BF"/>
    <w:rsid w:val="00D268BC"/>
    <w:rsid w:val="00D27FCF"/>
    <w:rsid w:val="00D31964"/>
    <w:rsid w:val="00D336DE"/>
    <w:rsid w:val="00D352FC"/>
    <w:rsid w:val="00D37338"/>
    <w:rsid w:val="00D40109"/>
    <w:rsid w:val="00D40975"/>
    <w:rsid w:val="00D41323"/>
    <w:rsid w:val="00D41BE9"/>
    <w:rsid w:val="00D438D9"/>
    <w:rsid w:val="00D4520E"/>
    <w:rsid w:val="00D45832"/>
    <w:rsid w:val="00D46534"/>
    <w:rsid w:val="00D473F4"/>
    <w:rsid w:val="00D50AEA"/>
    <w:rsid w:val="00D513EA"/>
    <w:rsid w:val="00D51E54"/>
    <w:rsid w:val="00D52F05"/>
    <w:rsid w:val="00D53AAC"/>
    <w:rsid w:val="00D53CB2"/>
    <w:rsid w:val="00D55FA8"/>
    <w:rsid w:val="00D565A7"/>
    <w:rsid w:val="00D57374"/>
    <w:rsid w:val="00D57F3C"/>
    <w:rsid w:val="00D60668"/>
    <w:rsid w:val="00D62ADB"/>
    <w:rsid w:val="00D62C7B"/>
    <w:rsid w:val="00D6604D"/>
    <w:rsid w:val="00D6670E"/>
    <w:rsid w:val="00D66ABB"/>
    <w:rsid w:val="00D700B9"/>
    <w:rsid w:val="00D70312"/>
    <w:rsid w:val="00D72332"/>
    <w:rsid w:val="00D73DDC"/>
    <w:rsid w:val="00D7461E"/>
    <w:rsid w:val="00D74811"/>
    <w:rsid w:val="00D7515C"/>
    <w:rsid w:val="00D756BE"/>
    <w:rsid w:val="00D808F5"/>
    <w:rsid w:val="00D8113A"/>
    <w:rsid w:val="00D8131A"/>
    <w:rsid w:val="00D828F0"/>
    <w:rsid w:val="00D83381"/>
    <w:rsid w:val="00D83B21"/>
    <w:rsid w:val="00D8487F"/>
    <w:rsid w:val="00D85972"/>
    <w:rsid w:val="00D85A78"/>
    <w:rsid w:val="00D91E1E"/>
    <w:rsid w:val="00D927D1"/>
    <w:rsid w:val="00D95185"/>
    <w:rsid w:val="00D9574B"/>
    <w:rsid w:val="00D973AD"/>
    <w:rsid w:val="00D97F35"/>
    <w:rsid w:val="00DA0080"/>
    <w:rsid w:val="00DA0C66"/>
    <w:rsid w:val="00DA0F19"/>
    <w:rsid w:val="00DA12DD"/>
    <w:rsid w:val="00DA242E"/>
    <w:rsid w:val="00DA2AE0"/>
    <w:rsid w:val="00DA53BF"/>
    <w:rsid w:val="00DA640F"/>
    <w:rsid w:val="00DB021B"/>
    <w:rsid w:val="00DB043A"/>
    <w:rsid w:val="00DB1584"/>
    <w:rsid w:val="00DB194D"/>
    <w:rsid w:val="00DB5256"/>
    <w:rsid w:val="00DB54AE"/>
    <w:rsid w:val="00DB57D9"/>
    <w:rsid w:val="00DB7DB9"/>
    <w:rsid w:val="00DC1A20"/>
    <w:rsid w:val="00DC3FA9"/>
    <w:rsid w:val="00DC44AB"/>
    <w:rsid w:val="00DC706A"/>
    <w:rsid w:val="00DD012A"/>
    <w:rsid w:val="00DD15DF"/>
    <w:rsid w:val="00DD4456"/>
    <w:rsid w:val="00DD4823"/>
    <w:rsid w:val="00DD5CA2"/>
    <w:rsid w:val="00DE12C3"/>
    <w:rsid w:val="00DE354F"/>
    <w:rsid w:val="00DE35E8"/>
    <w:rsid w:val="00DE5F0C"/>
    <w:rsid w:val="00DE64B5"/>
    <w:rsid w:val="00DE695C"/>
    <w:rsid w:val="00DE6991"/>
    <w:rsid w:val="00DF18FF"/>
    <w:rsid w:val="00DF21D5"/>
    <w:rsid w:val="00DF22E8"/>
    <w:rsid w:val="00DF28C9"/>
    <w:rsid w:val="00DF2D57"/>
    <w:rsid w:val="00DF5034"/>
    <w:rsid w:val="00DF77CA"/>
    <w:rsid w:val="00DF7ACA"/>
    <w:rsid w:val="00E00117"/>
    <w:rsid w:val="00E00FF1"/>
    <w:rsid w:val="00E02D84"/>
    <w:rsid w:val="00E05254"/>
    <w:rsid w:val="00E055BA"/>
    <w:rsid w:val="00E05B3D"/>
    <w:rsid w:val="00E05C84"/>
    <w:rsid w:val="00E061BA"/>
    <w:rsid w:val="00E07368"/>
    <w:rsid w:val="00E142CC"/>
    <w:rsid w:val="00E14302"/>
    <w:rsid w:val="00E1629D"/>
    <w:rsid w:val="00E16F7D"/>
    <w:rsid w:val="00E1713A"/>
    <w:rsid w:val="00E1736E"/>
    <w:rsid w:val="00E1736F"/>
    <w:rsid w:val="00E2163A"/>
    <w:rsid w:val="00E23280"/>
    <w:rsid w:val="00E26B85"/>
    <w:rsid w:val="00E275E5"/>
    <w:rsid w:val="00E30859"/>
    <w:rsid w:val="00E36511"/>
    <w:rsid w:val="00E376D1"/>
    <w:rsid w:val="00E37D1B"/>
    <w:rsid w:val="00E40378"/>
    <w:rsid w:val="00E410DF"/>
    <w:rsid w:val="00E413DC"/>
    <w:rsid w:val="00E42135"/>
    <w:rsid w:val="00E425EF"/>
    <w:rsid w:val="00E42FF0"/>
    <w:rsid w:val="00E44C11"/>
    <w:rsid w:val="00E475AE"/>
    <w:rsid w:val="00E47B4E"/>
    <w:rsid w:val="00E508C9"/>
    <w:rsid w:val="00E515FD"/>
    <w:rsid w:val="00E546E1"/>
    <w:rsid w:val="00E5672F"/>
    <w:rsid w:val="00E56E47"/>
    <w:rsid w:val="00E57E70"/>
    <w:rsid w:val="00E62268"/>
    <w:rsid w:val="00E62510"/>
    <w:rsid w:val="00E64096"/>
    <w:rsid w:val="00E655AA"/>
    <w:rsid w:val="00E65C8E"/>
    <w:rsid w:val="00E66FC5"/>
    <w:rsid w:val="00E67D14"/>
    <w:rsid w:val="00E7152E"/>
    <w:rsid w:val="00E75268"/>
    <w:rsid w:val="00E766C2"/>
    <w:rsid w:val="00E77D84"/>
    <w:rsid w:val="00E77DE1"/>
    <w:rsid w:val="00E81B5E"/>
    <w:rsid w:val="00E86630"/>
    <w:rsid w:val="00E86635"/>
    <w:rsid w:val="00E90217"/>
    <w:rsid w:val="00E921C6"/>
    <w:rsid w:val="00E93715"/>
    <w:rsid w:val="00E93DF3"/>
    <w:rsid w:val="00E93E21"/>
    <w:rsid w:val="00E93F41"/>
    <w:rsid w:val="00E9490B"/>
    <w:rsid w:val="00E95081"/>
    <w:rsid w:val="00E965A2"/>
    <w:rsid w:val="00E9700F"/>
    <w:rsid w:val="00E97076"/>
    <w:rsid w:val="00EA084B"/>
    <w:rsid w:val="00EA24AC"/>
    <w:rsid w:val="00EA26FE"/>
    <w:rsid w:val="00EA29AA"/>
    <w:rsid w:val="00EA2DFC"/>
    <w:rsid w:val="00EA3512"/>
    <w:rsid w:val="00EA4A86"/>
    <w:rsid w:val="00EA6977"/>
    <w:rsid w:val="00EA765C"/>
    <w:rsid w:val="00EB51B0"/>
    <w:rsid w:val="00EB5D46"/>
    <w:rsid w:val="00EB5EA3"/>
    <w:rsid w:val="00EB5ED5"/>
    <w:rsid w:val="00EB7538"/>
    <w:rsid w:val="00EB7958"/>
    <w:rsid w:val="00EC06F4"/>
    <w:rsid w:val="00EC08C4"/>
    <w:rsid w:val="00EC17A5"/>
    <w:rsid w:val="00EC3917"/>
    <w:rsid w:val="00EC46C3"/>
    <w:rsid w:val="00EC566D"/>
    <w:rsid w:val="00EC6176"/>
    <w:rsid w:val="00EC6FDF"/>
    <w:rsid w:val="00ED0889"/>
    <w:rsid w:val="00ED09A0"/>
    <w:rsid w:val="00ED2652"/>
    <w:rsid w:val="00ED40D3"/>
    <w:rsid w:val="00ED56FB"/>
    <w:rsid w:val="00ED6749"/>
    <w:rsid w:val="00ED7FBA"/>
    <w:rsid w:val="00EE0470"/>
    <w:rsid w:val="00EE1BB1"/>
    <w:rsid w:val="00EE267E"/>
    <w:rsid w:val="00EE310B"/>
    <w:rsid w:val="00EE4D80"/>
    <w:rsid w:val="00EE5C1A"/>
    <w:rsid w:val="00EE6221"/>
    <w:rsid w:val="00EF033E"/>
    <w:rsid w:val="00EF1B29"/>
    <w:rsid w:val="00EF1C32"/>
    <w:rsid w:val="00EF4A20"/>
    <w:rsid w:val="00EF53F3"/>
    <w:rsid w:val="00EF56D0"/>
    <w:rsid w:val="00EF5A44"/>
    <w:rsid w:val="00EF6D43"/>
    <w:rsid w:val="00EF70D3"/>
    <w:rsid w:val="00EF71B6"/>
    <w:rsid w:val="00EF765C"/>
    <w:rsid w:val="00F01F88"/>
    <w:rsid w:val="00F0210C"/>
    <w:rsid w:val="00F03170"/>
    <w:rsid w:val="00F046D0"/>
    <w:rsid w:val="00F073AA"/>
    <w:rsid w:val="00F073DA"/>
    <w:rsid w:val="00F07CB9"/>
    <w:rsid w:val="00F07D09"/>
    <w:rsid w:val="00F10468"/>
    <w:rsid w:val="00F126B5"/>
    <w:rsid w:val="00F12734"/>
    <w:rsid w:val="00F130D1"/>
    <w:rsid w:val="00F1310C"/>
    <w:rsid w:val="00F14063"/>
    <w:rsid w:val="00F14252"/>
    <w:rsid w:val="00F14B04"/>
    <w:rsid w:val="00F159E7"/>
    <w:rsid w:val="00F15AC2"/>
    <w:rsid w:val="00F17367"/>
    <w:rsid w:val="00F174C3"/>
    <w:rsid w:val="00F21F4F"/>
    <w:rsid w:val="00F22B7D"/>
    <w:rsid w:val="00F243D8"/>
    <w:rsid w:val="00F26D3F"/>
    <w:rsid w:val="00F275D9"/>
    <w:rsid w:val="00F27B07"/>
    <w:rsid w:val="00F300F6"/>
    <w:rsid w:val="00F3096E"/>
    <w:rsid w:val="00F32115"/>
    <w:rsid w:val="00F32EE4"/>
    <w:rsid w:val="00F33121"/>
    <w:rsid w:val="00F338B7"/>
    <w:rsid w:val="00F352AF"/>
    <w:rsid w:val="00F356E2"/>
    <w:rsid w:val="00F36857"/>
    <w:rsid w:val="00F37735"/>
    <w:rsid w:val="00F37A23"/>
    <w:rsid w:val="00F41B61"/>
    <w:rsid w:val="00F4286A"/>
    <w:rsid w:val="00F522CF"/>
    <w:rsid w:val="00F52B34"/>
    <w:rsid w:val="00F53417"/>
    <w:rsid w:val="00F539AE"/>
    <w:rsid w:val="00F55EE5"/>
    <w:rsid w:val="00F566B3"/>
    <w:rsid w:val="00F572B2"/>
    <w:rsid w:val="00F60F82"/>
    <w:rsid w:val="00F62F30"/>
    <w:rsid w:val="00F66496"/>
    <w:rsid w:val="00F67346"/>
    <w:rsid w:val="00F6761A"/>
    <w:rsid w:val="00F67E21"/>
    <w:rsid w:val="00F70025"/>
    <w:rsid w:val="00F70ED8"/>
    <w:rsid w:val="00F72776"/>
    <w:rsid w:val="00F73559"/>
    <w:rsid w:val="00F751CC"/>
    <w:rsid w:val="00F756DB"/>
    <w:rsid w:val="00F75E03"/>
    <w:rsid w:val="00F7663D"/>
    <w:rsid w:val="00F8058B"/>
    <w:rsid w:val="00F8161D"/>
    <w:rsid w:val="00F81B5D"/>
    <w:rsid w:val="00F83805"/>
    <w:rsid w:val="00F84BDA"/>
    <w:rsid w:val="00F84C58"/>
    <w:rsid w:val="00F8725E"/>
    <w:rsid w:val="00F92CDF"/>
    <w:rsid w:val="00F941FE"/>
    <w:rsid w:val="00F9673D"/>
    <w:rsid w:val="00F96EAC"/>
    <w:rsid w:val="00FA11AD"/>
    <w:rsid w:val="00FA1A9A"/>
    <w:rsid w:val="00FA1FBB"/>
    <w:rsid w:val="00FA274D"/>
    <w:rsid w:val="00FA3AA3"/>
    <w:rsid w:val="00FA4548"/>
    <w:rsid w:val="00FA4B14"/>
    <w:rsid w:val="00FA4EE1"/>
    <w:rsid w:val="00FA63F4"/>
    <w:rsid w:val="00FA7B03"/>
    <w:rsid w:val="00FB1C45"/>
    <w:rsid w:val="00FB347A"/>
    <w:rsid w:val="00FB364F"/>
    <w:rsid w:val="00FB373B"/>
    <w:rsid w:val="00FB7368"/>
    <w:rsid w:val="00FB73DE"/>
    <w:rsid w:val="00FC30FE"/>
    <w:rsid w:val="00FC5275"/>
    <w:rsid w:val="00FC5826"/>
    <w:rsid w:val="00FC63B8"/>
    <w:rsid w:val="00FC69F1"/>
    <w:rsid w:val="00FC6C60"/>
    <w:rsid w:val="00FD07DF"/>
    <w:rsid w:val="00FD11D9"/>
    <w:rsid w:val="00FD157C"/>
    <w:rsid w:val="00FD1DE7"/>
    <w:rsid w:val="00FD1E2A"/>
    <w:rsid w:val="00FD3A72"/>
    <w:rsid w:val="00FD3C37"/>
    <w:rsid w:val="00FD3C9A"/>
    <w:rsid w:val="00FD6EE5"/>
    <w:rsid w:val="00FD7049"/>
    <w:rsid w:val="00FE0363"/>
    <w:rsid w:val="00FE200B"/>
    <w:rsid w:val="00FE44FE"/>
    <w:rsid w:val="00FE5378"/>
    <w:rsid w:val="00FE551C"/>
    <w:rsid w:val="00FE58E1"/>
    <w:rsid w:val="00FE5A83"/>
    <w:rsid w:val="00FE6E29"/>
    <w:rsid w:val="00FE7E61"/>
    <w:rsid w:val="00FF2513"/>
    <w:rsid w:val="00FF32F3"/>
    <w:rsid w:val="00FF3664"/>
    <w:rsid w:val="00FF45D3"/>
    <w:rsid w:val="00FF58CA"/>
    <w:rsid w:val="00FF64AF"/>
    <w:rsid w:val="00FF762A"/>
    <w:rsid w:val="00FF7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5ABB"/>
  <w15:chartTrackingRefBased/>
  <w15:docId w15:val="{DB7503A1-5F72-47EF-87A5-03A925AC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78B"/>
    <w:pPr>
      <w:spacing w:after="230" w:line="259" w:lineRule="auto"/>
    </w:pPr>
    <w:rPr>
      <w:sz w:val="23"/>
      <w:szCs w:val="23"/>
    </w:rPr>
  </w:style>
  <w:style w:type="paragraph" w:styleId="Heading1">
    <w:name w:val="heading 1"/>
    <w:basedOn w:val="Normal"/>
    <w:next w:val="Normal"/>
    <w:link w:val="Heading1Char"/>
    <w:uiPriority w:val="9"/>
    <w:qFormat/>
    <w:rsid w:val="00D95185"/>
    <w:pPr>
      <w:spacing w:afterLines="100" w:after="240"/>
      <w:outlineLvl w:val="0"/>
    </w:pPr>
    <w:rPr>
      <w:color w:val="141760" w:themeColor="accent1"/>
      <w:sz w:val="26"/>
      <w:szCs w:val="26"/>
    </w:rPr>
  </w:style>
  <w:style w:type="paragraph" w:styleId="Heading2">
    <w:name w:val="heading 2"/>
    <w:basedOn w:val="Normal"/>
    <w:next w:val="Normal"/>
    <w:link w:val="Heading2Char"/>
    <w:uiPriority w:val="9"/>
    <w:unhideWhenUsed/>
    <w:qFormat/>
    <w:rsid w:val="00D95185"/>
    <w:pPr>
      <w:outlineLvl w:val="1"/>
    </w:pPr>
    <w:rPr>
      <w:color w:val="141760" w:themeColor="accent1"/>
    </w:rPr>
  </w:style>
  <w:style w:type="paragraph" w:styleId="Heading3">
    <w:name w:val="heading 3"/>
    <w:basedOn w:val="Normal"/>
    <w:next w:val="Normal"/>
    <w:link w:val="Heading3Char"/>
    <w:uiPriority w:val="9"/>
    <w:semiHidden/>
    <w:unhideWhenUsed/>
    <w:qFormat/>
    <w:rsid w:val="00765511"/>
    <w:pPr>
      <w:keepNext/>
      <w:keepLines/>
      <w:spacing w:before="160" w:after="80"/>
      <w:outlineLvl w:val="2"/>
    </w:pPr>
    <w:rPr>
      <w:rFonts w:eastAsiaTheme="majorEastAsia" w:cstheme="majorBidi"/>
      <w:color w:val="0F1147" w:themeColor="accent1" w:themeShade="BF"/>
      <w:sz w:val="28"/>
      <w:szCs w:val="28"/>
    </w:rPr>
  </w:style>
  <w:style w:type="paragraph" w:styleId="Heading4">
    <w:name w:val="heading 4"/>
    <w:basedOn w:val="Normal"/>
    <w:next w:val="Normal"/>
    <w:link w:val="Heading4Char"/>
    <w:uiPriority w:val="9"/>
    <w:semiHidden/>
    <w:unhideWhenUsed/>
    <w:qFormat/>
    <w:rsid w:val="00765511"/>
    <w:pPr>
      <w:keepNext/>
      <w:keepLines/>
      <w:spacing w:before="80" w:after="40"/>
      <w:outlineLvl w:val="3"/>
    </w:pPr>
    <w:rPr>
      <w:rFonts w:eastAsiaTheme="majorEastAsia" w:cstheme="majorBidi"/>
      <w:i/>
      <w:iCs/>
      <w:color w:val="0F1147" w:themeColor="accent1" w:themeShade="BF"/>
    </w:rPr>
  </w:style>
  <w:style w:type="paragraph" w:styleId="Heading5">
    <w:name w:val="heading 5"/>
    <w:basedOn w:val="Normal"/>
    <w:next w:val="Normal"/>
    <w:link w:val="Heading5Char"/>
    <w:uiPriority w:val="9"/>
    <w:semiHidden/>
    <w:unhideWhenUsed/>
    <w:qFormat/>
    <w:rsid w:val="00765511"/>
    <w:pPr>
      <w:keepNext/>
      <w:keepLines/>
      <w:spacing w:before="80" w:after="40"/>
      <w:outlineLvl w:val="4"/>
    </w:pPr>
    <w:rPr>
      <w:rFonts w:eastAsiaTheme="majorEastAsia" w:cstheme="majorBidi"/>
      <w:color w:val="0F1147" w:themeColor="accent1" w:themeShade="BF"/>
    </w:rPr>
  </w:style>
  <w:style w:type="paragraph" w:styleId="Heading6">
    <w:name w:val="heading 6"/>
    <w:basedOn w:val="Normal"/>
    <w:next w:val="Normal"/>
    <w:link w:val="Heading6Char"/>
    <w:uiPriority w:val="9"/>
    <w:semiHidden/>
    <w:unhideWhenUsed/>
    <w:qFormat/>
    <w:rsid w:val="007655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5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5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5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185"/>
    <w:rPr>
      <w:color w:val="141760" w:themeColor="accent1"/>
      <w:sz w:val="26"/>
      <w:szCs w:val="26"/>
    </w:rPr>
  </w:style>
  <w:style w:type="character" w:customStyle="1" w:styleId="Heading2Char">
    <w:name w:val="Heading 2 Char"/>
    <w:basedOn w:val="DefaultParagraphFont"/>
    <w:link w:val="Heading2"/>
    <w:uiPriority w:val="9"/>
    <w:rsid w:val="00D95185"/>
    <w:rPr>
      <w:color w:val="141760" w:themeColor="accent1"/>
      <w:sz w:val="23"/>
      <w:szCs w:val="23"/>
    </w:rPr>
  </w:style>
  <w:style w:type="character" w:customStyle="1" w:styleId="Heading3Char">
    <w:name w:val="Heading 3 Char"/>
    <w:basedOn w:val="DefaultParagraphFont"/>
    <w:link w:val="Heading3"/>
    <w:uiPriority w:val="9"/>
    <w:semiHidden/>
    <w:rsid w:val="00765511"/>
    <w:rPr>
      <w:rFonts w:eastAsiaTheme="majorEastAsia" w:cstheme="majorBidi"/>
      <w:color w:val="0F1147" w:themeColor="accent1" w:themeShade="BF"/>
      <w:sz w:val="28"/>
      <w:szCs w:val="28"/>
    </w:rPr>
  </w:style>
  <w:style w:type="character" w:customStyle="1" w:styleId="Heading4Char">
    <w:name w:val="Heading 4 Char"/>
    <w:basedOn w:val="DefaultParagraphFont"/>
    <w:link w:val="Heading4"/>
    <w:uiPriority w:val="9"/>
    <w:semiHidden/>
    <w:rsid w:val="00765511"/>
    <w:rPr>
      <w:rFonts w:eastAsiaTheme="majorEastAsia" w:cstheme="majorBidi"/>
      <w:i/>
      <w:iCs/>
      <w:color w:val="0F1147" w:themeColor="accent1" w:themeShade="BF"/>
    </w:rPr>
  </w:style>
  <w:style w:type="character" w:customStyle="1" w:styleId="Heading5Char">
    <w:name w:val="Heading 5 Char"/>
    <w:basedOn w:val="DefaultParagraphFont"/>
    <w:link w:val="Heading5"/>
    <w:uiPriority w:val="9"/>
    <w:semiHidden/>
    <w:rsid w:val="00765511"/>
    <w:rPr>
      <w:rFonts w:eastAsiaTheme="majorEastAsia" w:cstheme="majorBidi"/>
      <w:color w:val="0F1147" w:themeColor="accent1" w:themeShade="BF"/>
    </w:rPr>
  </w:style>
  <w:style w:type="character" w:customStyle="1" w:styleId="Heading6Char">
    <w:name w:val="Heading 6 Char"/>
    <w:basedOn w:val="DefaultParagraphFont"/>
    <w:link w:val="Heading6"/>
    <w:uiPriority w:val="9"/>
    <w:semiHidden/>
    <w:rsid w:val="00765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511"/>
    <w:rPr>
      <w:rFonts w:eastAsiaTheme="majorEastAsia" w:cstheme="majorBidi"/>
      <w:color w:val="272727" w:themeColor="text1" w:themeTint="D8"/>
    </w:rPr>
  </w:style>
  <w:style w:type="paragraph" w:styleId="Title">
    <w:name w:val="Title"/>
    <w:basedOn w:val="Normal"/>
    <w:next w:val="Normal"/>
    <w:link w:val="TitleChar"/>
    <w:uiPriority w:val="10"/>
    <w:qFormat/>
    <w:rsid w:val="00D95185"/>
    <w:pPr>
      <w:spacing w:after="80" w:line="240" w:lineRule="auto"/>
      <w:contextualSpacing/>
    </w:pPr>
    <w:rPr>
      <w:rFonts w:ascii="Arial" w:eastAsiaTheme="majorEastAsia" w:hAnsi="Arial" w:cs="Arial"/>
      <w:b/>
      <w:bCs/>
      <w:color w:val="141760" w:themeColor="accent1"/>
      <w:spacing w:val="-10"/>
      <w:kern w:val="28"/>
      <w:sz w:val="32"/>
      <w:szCs w:val="32"/>
    </w:rPr>
  </w:style>
  <w:style w:type="character" w:customStyle="1" w:styleId="TitleChar">
    <w:name w:val="Title Char"/>
    <w:basedOn w:val="DefaultParagraphFont"/>
    <w:link w:val="Title"/>
    <w:uiPriority w:val="10"/>
    <w:rsid w:val="00D95185"/>
    <w:rPr>
      <w:rFonts w:ascii="Arial" w:eastAsiaTheme="majorEastAsia" w:hAnsi="Arial" w:cs="Arial"/>
      <w:b/>
      <w:bCs/>
      <w:color w:val="141760" w:themeColor="accent1"/>
      <w:spacing w:val="-10"/>
      <w:kern w:val="28"/>
      <w:sz w:val="32"/>
      <w:szCs w:val="32"/>
    </w:rPr>
  </w:style>
  <w:style w:type="paragraph" w:styleId="Subtitle">
    <w:name w:val="Subtitle"/>
    <w:basedOn w:val="Normal"/>
    <w:next w:val="Normal"/>
    <w:link w:val="SubtitleChar"/>
    <w:uiPriority w:val="11"/>
    <w:qFormat/>
    <w:rsid w:val="00765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511"/>
    <w:pPr>
      <w:spacing w:before="160"/>
      <w:jc w:val="center"/>
    </w:pPr>
    <w:rPr>
      <w:i/>
      <w:iCs/>
      <w:color w:val="404040" w:themeColor="text1" w:themeTint="BF"/>
    </w:rPr>
  </w:style>
  <w:style w:type="character" w:customStyle="1" w:styleId="QuoteChar">
    <w:name w:val="Quote Char"/>
    <w:basedOn w:val="DefaultParagraphFont"/>
    <w:link w:val="Quote"/>
    <w:uiPriority w:val="29"/>
    <w:rsid w:val="00765511"/>
    <w:rPr>
      <w:i/>
      <w:iCs/>
      <w:color w:val="404040" w:themeColor="text1" w:themeTint="BF"/>
    </w:rPr>
  </w:style>
  <w:style w:type="paragraph" w:styleId="ListParagraph">
    <w:name w:val="List Paragraph"/>
    <w:basedOn w:val="Normal"/>
    <w:uiPriority w:val="34"/>
    <w:qFormat/>
    <w:rsid w:val="00765511"/>
    <w:pPr>
      <w:ind w:left="720"/>
      <w:contextualSpacing/>
    </w:pPr>
  </w:style>
  <w:style w:type="character" w:styleId="IntenseEmphasis">
    <w:name w:val="Intense Emphasis"/>
    <w:basedOn w:val="DefaultParagraphFont"/>
    <w:uiPriority w:val="21"/>
    <w:qFormat/>
    <w:rsid w:val="00765511"/>
    <w:rPr>
      <w:i/>
      <w:iCs/>
      <w:color w:val="0F1147" w:themeColor="accent1" w:themeShade="BF"/>
    </w:rPr>
  </w:style>
  <w:style w:type="paragraph" w:styleId="IntenseQuote">
    <w:name w:val="Intense Quote"/>
    <w:basedOn w:val="Normal"/>
    <w:next w:val="Normal"/>
    <w:link w:val="IntenseQuoteChar"/>
    <w:uiPriority w:val="30"/>
    <w:qFormat/>
    <w:rsid w:val="00765511"/>
    <w:pPr>
      <w:pBdr>
        <w:top w:val="single" w:sz="4" w:space="10" w:color="0F1147" w:themeColor="accent1" w:themeShade="BF"/>
        <w:bottom w:val="single" w:sz="4" w:space="10" w:color="0F1147" w:themeColor="accent1" w:themeShade="BF"/>
      </w:pBdr>
      <w:spacing w:before="360" w:after="360"/>
      <w:ind w:left="864" w:right="864"/>
      <w:jc w:val="center"/>
    </w:pPr>
    <w:rPr>
      <w:i/>
      <w:iCs/>
      <w:color w:val="0F1147" w:themeColor="accent1" w:themeShade="BF"/>
    </w:rPr>
  </w:style>
  <w:style w:type="character" w:customStyle="1" w:styleId="IntenseQuoteChar">
    <w:name w:val="Intense Quote Char"/>
    <w:basedOn w:val="DefaultParagraphFont"/>
    <w:link w:val="IntenseQuote"/>
    <w:uiPriority w:val="30"/>
    <w:rsid w:val="00765511"/>
    <w:rPr>
      <w:i/>
      <w:iCs/>
      <w:color w:val="0F1147" w:themeColor="accent1" w:themeShade="BF"/>
    </w:rPr>
  </w:style>
  <w:style w:type="character" w:styleId="IntenseReference">
    <w:name w:val="Intense Reference"/>
    <w:basedOn w:val="DefaultParagraphFont"/>
    <w:uiPriority w:val="32"/>
    <w:qFormat/>
    <w:rsid w:val="00765511"/>
    <w:rPr>
      <w:b/>
      <w:bCs/>
      <w:smallCaps/>
      <w:color w:val="0F1147" w:themeColor="accent1" w:themeShade="BF"/>
      <w:spacing w:val="5"/>
    </w:rPr>
  </w:style>
  <w:style w:type="character" w:styleId="Hyperlink">
    <w:name w:val="Hyperlink"/>
    <w:basedOn w:val="DefaultParagraphFont"/>
    <w:uiPriority w:val="99"/>
    <w:unhideWhenUsed/>
    <w:rsid w:val="003F17B6"/>
    <w:rPr>
      <w:color w:val="0000FF"/>
      <w:u w:val="single"/>
    </w:rPr>
  </w:style>
  <w:style w:type="paragraph" w:styleId="EndnoteText">
    <w:name w:val="endnote text"/>
    <w:basedOn w:val="Normal"/>
    <w:link w:val="EndnoteTextChar"/>
    <w:uiPriority w:val="99"/>
    <w:unhideWhenUsed/>
    <w:rsid w:val="003F17B6"/>
    <w:pPr>
      <w:spacing w:after="0" w:line="240" w:lineRule="auto"/>
    </w:pPr>
    <w:rPr>
      <w:sz w:val="20"/>
      <w:szCs w:val="20"/>
    </w:rPr>
  </w:style>
  <w:style w:type="character" w:customStyle="1" w:styleId="EndnoteTextChar">
    <w:name w:val="Endnote Text Char"/>
    <w:basedOn w:val="DefaultParagraphFont"/>
    <w:link w:val="EndnoteText"/>
    <w:uiPriority w:val="99"/>
    <w:rsid w:val="003F17B6"/>
    <w:rPr>
      <w:sz w:val="20"/>
      <w:szCs w:val="20"/>
    </w:rPr>
  </w:style>
  <w:style w:type="character" w:styleId="EndnoteReference">
    <w:name w:val="endnote reference"/>
    <w:basedOn w:val="DefaultParagraphFont"/>
    <w:uiPriority w:val="99"/>
    <w:semiHidden/>
    <w:unhideWhenUsed/>
    <w:rsid w:val="003F17B6"/>
    <w:rPr>
      <w:vertAlign w:val="superscript"/>
    </w:rPr>
  </w:style>
  <w:style w:type="character" w:styleId="UnresolvedMention">
    <w:name w:val="Unresolved Mention"/>
    <w:basedOn w:val="DefaultParagraphFont"/>
    <w:uiPriority w:val="99"/>
    <w:semiHidden/>
    <w:unhideWhenUsed/>
    <w:rsid w:val="008D569F"/>
    <w:rPr>
      <w:color w:val="605E5C"/>
      <w:shd w:val="clear" w:color="auto" w:fill="E1DFDD"/>
    </w:rPr>
  </w:style>
  <w:style w:type="character" w:styleId="FollowedHyperlink">
    <w:name w:val="FollowedHyperlink"/>
    <w:basedOn w:val="DefaultParagraphFont"/>
    <w:uiPriority w:val="99"/>
    <w:semiHidden/>
    <w:unhideWhenUsed/>
    <w:rsid w:val="00DE695C"/>
    <w:rPr>
      <w:color w:val="007DAD" w:themeColor="followedHyperlink"/>
      <w:u w:val="single"/>
    </w:rPr>
  </w:style>
  <w:style w:type="paragraph" w:styleId="NormalWeb">
    <w:name w:val="Normal (Web)"/>
    <w:basedOn w:val="Normal"/>
    <w:uiPriority w:val="99"/>
    <w:unhideWhenUsed/>
    <w:rsid w:val="009D649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F15A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AC2"/>
  </w:style>
  <w:style w:type="paragraph" w:styleId="Footer">
    <w:name w:val="footer"/>
    <w:basedOn w:val="Normal"/>
    <w:link w:val="FooterChar"/>
    <w:uiPriority w:val="99"/>
    <w:unhideWhenUsed/>
    <w:rsid w:val="00F15A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AC2"/>
  </w:style>
  <w:style w:type="character" w:styleId="CommentReference">
    <w:name w:val="annotation reference"/>
    <w:basedOn w:val="DefaultParagraphFont"/>
    <w:uiPriority w:val="99"/>
    <w:semiHidden/>
    <w:unhideWhenUsed/>
    <w:rsid w:val="00EE0470"/>
    <w:rPr>
      <w:sz w:val="16"/>
      <w:szCs w:val="16"/>
    </w:rPr>
  </w:style>
  <w:style w:type="paragraph" w:styleId="CommentText">
    <w:name w:val="annotation text"/>
    <w:basedOn w:val="Normal"/>
    <w:link w:val="CommentTextChar"/>
    <w:uiPriority w:val="99"/>
    <w:unhideWhenUsed/>
    <w:rsid w:val="00EE0470"/>
    <w:pPr>
      <w:spacing w:line="240" w:lineRule="auto"/>
    </w:pPr>
    <w:rPr>
      <w:sz w:val="20"/>
      <w:szCs w:val="20"/>
    </w:rPr>
  </w:style>
  <w:style w:type="character" w:customStyle="1" w:styleId="CommentTextChar">
    <w:name w:val="Comment Text Char"/>
    <w:basedOn w:val="DefaultParagraphFont"/>
    <w:link w:val="CommentText"/>
    <w:uiPriority w:val="99"/>
    <w:rsid w:val="00EE0470"/>
    <w:rPr>
      <w:sz w:val="20"/>
      <w:szCs w:val="20"/>
    </w:rPr>
  </w:style>
  <w:style w:type="paragraph" w:styleId="CommentSubject">
    <w:name w:val="annotation subject"/>
    <w:basedOn w:val="CommentText"/>
    <w:next w:val="CommentText"/>
    <w:link w:val="CommentSubjectChar"/>
    <w:uiPriority w:val="99"/>
    <w:semiHidden/>
    <w:unhideWhenUsed/>
    <w:rsid w:val="00EE0470"/>
    <w:rPr>
      <w:b/>
      <w:bCs/>
    </w:rPr>
  </w:style>
  <w:style w:type="character" w:customStyle="1" w:styleId="CommentSubjectChar">
    <w:name w:val="Comment Subject Char"/>
    <w:basedOn w:val="CommentTextChar"/>
    <w:link w:val="CommentSubject"/>
    <w:uiPriority w:val="99"/>
    <w:semiHidden/>
    <w:rsid w:val="00EE0470"/>
    <w:rPr>
      <w:b/>
      <w:bCs/>
      <w:sz w:val="20"/>
      <w:szCs w:val="20"/>
    </w:rPr>
  </w:style>
  <w:style w:type="paragraph" w:styleId="Revision">
    <w:name w:val="Revision"/>
    <w:hidden/>
    <w:uiPriority w:val="99"/>
    <w:semiHidden/>
    <w:rsid w:val="00EE0470"/>
    <w:pPr>
      <w:spacing w:after="0" w:line="240" w:lineRule="auto"/>
    </w:pPr>
  </w:style>
  <w:style w:type="paragraph" w:customStyle="1" w:styleId="Default">
    <w:name w:val="Default"/>
    <w:rsid w:val="00E26B85"/>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401001">
      <w:bodyDiv w:val="1"/>
      <w:marLeft w:val="0"/>
      <w:marRight w:val="0"/>
      <w:marTop w:val="0"/>
      <w:marBottom w:val="0"/>
      <w:divBdr>
        <w:top w:val="none" w:sz="0" w:space="0" w:color="auto"/>
        <w:left w:val="none" w:sz="0" w:space="0" w:color="auto"/>
        <w:bottom w:val="none" w:sz="0" w:space="0" w:color="auto"/>
        <w:right w:val="none" w:sz="0" w:space="0" w:color="auto"/>
      </w:divBdr>
    </w:div>
    <w:div w:id="201331416">
      <w:bodyDiv w:val="1"/>
      <w:marLeft w:val="0"/>
      <w:marRight w:val="0"/>
      <w:marTop w:val="0"/>
      <w:marBottom w:val="0"/>
      <w:divBdr>
        <w:top w:val="none" w:sz="0" w:space="0" w:color="auto"/>
        <w:left w:val="none" w:sz="0" w:space="0" w:color="auto"/>
        <w:bottom w:val="none" w:sz="0" w:space="0" w:color="auto"/>
        <w:right w:val="none" w:sz="0" w:space="0" w:color="auto"/>
      </w:divBdr>
    </w:div>
    <w:div w:id="473957855">
      <w:bodyDiv w:val="1"/>
      <w:marLeft w:val="0"/>
      <w:marRight w:val="0"/>
      <w:marTop w:val="0"/>
      <w:marBottom w:val="0"/>
      <w:divBdr>
        <w:top w:val="none" w:sz="0" w:space="0" w:color="auto"/>
        <w:left w:val="none" w:sz="0" w:space="0" w:color="auto"/>
        <w:bottom w:val="none" w:sz="0" w:space="0" w:color="auto"/>
        <w:right w:val="none" w:sz="0" w:space="0" w:color="auto"/>
      </w:divBdr>
      <w:divsChild>
        <w:div w:id="432552488">
          <w:marLeft w:val="0"/>
          <w:marRight w:val="0"/>
          <w:marTop w:val="0"/>
          <w:marBottom w:val="0"/>
          <w:divBdr>
            <w:top w:val="none" w:sz="0" w:space="0" w:color="auto"/>
            <w:left w:val="none" w:sz="0" w:space="0" w:color="auto"/>
            <w:bottom w:val="none" w:sz="0" w:space="0" w:color="auto"/>
            <w:right w:val="none" w:sz="0" w:space="0" w:color="auto"/>
          </w:divBdr>
          <w:divsChild>
            <w:div w:id="532114227">
              <w:marLeft w:val="0"/>
              <w:marRight w:val="0"/>
              <w:marTop w:val="0"/>
              <w:marBottom w:val="0"/>
              <w:divBdr>
                <w:top w:val="none" w:sz="0" w:space="0" w:color="auto"/>
                <w:left w:val="none" w:sz="0" w:space="0" w:color="auto"/>
                <w:bottom w:val="none" w:sz="0" w:space="0" w:color="auto"/>
                <w:right w:val="none" w:sz="0" w:space="0" w:color="auto"/>
              </w:divBdr>
              <w:divsChild>
                <w:div w:id="89863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82752">
      <w:bodyDiv w:val="1"/>
      <w:marLeft w:val="0"/>
      <w:marRight w:val="0"/>
      <w:marTop w:val="0"/>
      <w:marBottom w:val="0"/>
      <w:divBdr>
        <w:top w:val="none" w:sz="0" w:space="0" w:color="auto"/>
        <w:left w:val="none" w:sz="0" w:space="0" w:color="auto"/>
        <w:bottom w:val="none" w:sz="0" w:space="0" w:color="auto"/>
        <w:right w:val="none" w:sz="0" w:space="0" w:color="auto"/>
      </w:divBdr>
      <w:divsChild>
        <w:div w:id="357005111">
          <w:marLeft w:val="0"/>
          <w:marRight w:val="0"/>
          <w:marTop w:val="0"/>
          <w:marBottom w:val="0"/>
          <w:divBdr>
            <w:top w:val="none" w:sz="0" w:space="0" w:color="auto"/>
            <w:left w:val="none" w:sz="0" w:space="0" w:color="auto"/>
            <w:bottom w:val="none" w:sz="0" w:space="0" w:color="auto"/>
            <w:right w:val="none" w:sz="0" w:space="0" w:color="auto"/>
          </w:divBdr>
          <w:divsChild>
            <w:div w:id="1165246359">
              <w:marLeft w:val="0"/>
              <w:marRight w:val="0"/>
              <w:marTop w:val="0"/>
              <w:marBottom w:val="0"/>
              <w:divBdr>
                <w:top w:val="none" w:sz="0" w:space="0" w:color="auto"/>
                <w:left w:val="none" w:sz="0" w:space="0" w:color="auto"/>
                <w:bottom w:val="none" w:sz="0" w:space="0" w:color="auto"/>
                <w:right w:val="none" w:sz="0" w:space="0" w:color="auto"/>
              </w:divBdr>
              <w:divsChild>
                <w:div w:id="103851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88819">
      <w:bodyDiv w:val="1"/>
      <w:marLeft w:val="0"/>
      <w:marRight w:val="0"/>
      <w:marTop w:val="0"/>
      <w:marBottom w:val="0"/>
      <w:divBdr>
        <w:top w:val="none" w:sz="0" w:space="0" w:color="auto"/>
        <w:left w:val="none" w:sz="0" w:space="0" w:color="auto"/>
        <w:bottom w:val="none" w:sz="0" w:space="0" w:color="auto"/>
        <w:right w:val="none" w:sz="0" w:space="0" w:color="auto"/>
      </w:divBdr>
    </w:div>
    <w:div w:id="558595612">
      <w:bodyDiv w:val="1"/>
      <w:marLeft w:val="0"/>
      <w:marRight w:val="0"/>
      <w:marTop w:val="0"/>
      <w:marBottom w:val="0"/>
      <w:divBdr>
        <w:top w:val="none" w:sz="0" w:space="0" w:color="auto"/>
        <w:left w:val="none" w:sz="0" w:space="0" w:color="auto"/>
        <w:bottom w:val="none" w:sz="0" w:space="0" w:color="auto"/>
        <w:right w:val="none" w:sz="0" w:space="0" w:color="auto"/>
      </w:divBdr>
    </w:div>
    <w:div w:id="759370043">
      <w:bodyDiv w:val="1"/>
      <w:marLeft w:val="0"/>
      <w:marRight w:val="0"/>
      <w:marTop w:val="0"/>
      <w:marBottom w:val="0"/>
      <w:divBdr>
        <w:top w:val="none" w:sz="0" w:space="0" w:color="auto"/>
        <w:left w:val="none" w:sz="0" w:space="0" w:color="auto"/>
        <w:bottom w:val="none" w:sz="0" w:space="0" w:color="auto"/>
        <w:right w:val="none" w:sz="0" w:space="0" w:color="auto"/>
      </w:divBdr>
    </w:div>
    <w:div w:id="843251950">
      <w:bodyDiv w:val="1"/>
      <w:marLeft w:val="0"/>
      <w:marRight w:val="0"/>
      <w:marTop w:val="0"/>
      <w:marBottom w:val="0"/>
      <w:divBdr>
        <w:top w:val="none" w:sz="0" w:space="0" w:color="auto"/>
        <w:left w:val="none" w:sz="0" w:space="0" w:color="auto"/>
        <w:bottom w:val="none" w:sz="0" w:space="0" w:color="auto"/>
        <w:right w:val="none" w:sz="0" w:space="0" w:color="auto"/>
      </w:divBdr>
    </w:div>
    <w:div w:id="904725772">
      <w:bodyDiv w:val="1"/>
      <w:marLeft w:val="0"/>
      <w:marRight w:val="0"/>
      <w:marTop w:val="0"/>
      <w:marBottom w:val="0"/>
      <w:divBdr>
        <w:top w:val="none" w:sz="0" w:space="0" w:color="auto"/>
        <w:left w:val="none" w:sz="0" w:space="0" w:color="auto"/>
        <w:bottom w:val="none" w:sz="0" w:space="0" w:color="auto"/>
        <w:right w:val="none" w:sz="0" w:space="0" w:color="auto"/>
      </w:divBdr>
    </w:div>
    <w:div w:id="1069815057">
      <w:bodyDiv w:val="1"/>
      <w:marLeft w:val="0"/>
      <w:marRight w:val="0"/>
      <w:marTop w:val="0"/>
      <w:marBottom w:val="0"/>
      <w:divBdr>
        <w:top w:val="none" w:sz="0" w:space="0" w:color="auto"/>
        <w:left w:val="none" w:sz="0" w:space="0" w:color="auto"/>
        <w:bottom w:val="none" w:sz="0" w:space="0" w:color="auto"/>
        <w:right w:val="none" w:sz="0" w:space="0" w:color="auto"/>
      </w:divBdr>
    </w:div>
    <w:div w:id="1205412556">
      <w:bodyDiv w:val="1"/>
      <w:marLeft w:val="0"/>
      <w:marRight w:val="0"/>
      <w:marTop w:val="0"/>
      <w:marBottom w:val="0"/>
      <w:divBdr>
        <w:top w:val="none" w:sz="0" w:space="0" w:color="auto"/>
        <w:left w:val="none" w:sz="0" w:space="0" w:color="auto"/>
        <w:bottom w:val="none" w:sz="0" w:space="0" w:color="auto"/>
        <w:right w:val="none" w:sz="0" w:space="0" w:color="auto"/>
      </w:divBdr>
    </w:div>
    <w:div w:id="1351686997">
      <w:bodyDiv w:val="1"/>
      <w:marLeft w:val="0"/>
      <w:marRight w:val="0"/>
      <w:marTop w:val="0"/>
      <w:marBottom w:val="0"/>
      <w:divBdr>
        <w:top w:val="none" w:sz="0" w:space="0" w:color="auto"/>
        <w:left w:val="none" w:sz="0" w:space="0" w:color="auto"/>
        <w:bottom w:val="none" w:sz="0" w:space="0" w:color="auto"/>
        <w:right w:val="none" w:sz="0" w:space="0" w:color="auto"/>
      </w:divBdr>
      <w:divsChild>
        <w:div w:id="545027045">
          <w:marLeft w:val="0"/>
          <w:marRight w:val="0"/>
          <w:marTop w:val="0"/>
          <w:marBottom w:val="0"/>
          <w:divBdr>
            <w:top w:val="none" w:sz="0" w:space="0" w:color="auto"/>
            <w:left w:val="none" w:sz="0" w:space="0" w:color="auto"/>
            <w:bottom w:val="none" w:sz="0" w:space="0" w:color="auto"/>
            <w:right w:val="none" w:sz="0" w:space="0" w:color="auto"/>
          </w:divBdr>
          <w:divsChild>
            <w:div w:id="1002902390">
              <w:marLeft w:val="0"/>
              <w:marRight w:val="0"/>
              <w:marTop w:val="0"/>
              <w:marBottom w:val="0"/>
              <w:divBdr>
                <w:top w:val="none" w:sz="0" w:space="0" w:color="auto"/>
                <w:left w:val="none" w:sz="0" w:space="0" w:color="auto"/>
                <w:bottom w:val="none" w:sz="0" w:space="0" w:color="auto"/>
                <w:right w:val="none" w:sz="0" w:space="0" w:color="auto"/>
              </w:divBdr>
              <w:divsChild>
                <w:div w:id="1999191473">
                  <w:marLeft w:val="0"/>
                  <w:marRight w:val="0"/>
                  <w:marTop w:val="0"/>
                  <w:marBottom w:val="0"/>
                  <w:divBdr>
                    <w:top w:val="none" w:sz="0" w:space="0" w:color="auto"/>
                    <w:left w:val="none" w:sz="0" w:space="0" w:color="auto"/>
                    <w:bottom w:val="none" w:sz="0" w:space="0" w:color="auto"/>
                    <w:right w:val="none" w:sz="0" w:space="0" w:color="auto"/>
                  </w:divBdr>
                  <w:divsChild>
                    <w:div w:id="20211623">
                      <w:marLeft w:val="0"/>
                      <w:marRight w:val="0"/>
                      <w:marTop w:val="0"/>
                      <w:marBottom w:val="0"/>
                      <w:divBdr>
                        <w:top w:val="none" w:sz="0" w:space="0" w:color="auto"/>
                        <w:left w:val="none" w:sz="0" w:space="0" w:color="auto"/>
                        <w:bottom w:val="none" w:sz="0" w:space="0" w:color="auto"/>
                        <w:right w:val="none" w:sz="0" w:space="0" w:color="auto"/>
                      </w:divBdr>
                    </w:div>
                    <w:div w:id="5612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48741">
          <w:marLeft w:val="0"/>
          <w:marRight w:val="0"/>
          <w:marTop w:val="0"/>
          <w:marBottom w:val="0"/>
          <w:divBdr>
            <w:top w:val="none" w:sz="0" w:space="0" w:color="auto"/>
            <w:left w:val="none" w:sz="0" w:space="0" w:color="auto"/>
            <w:bottom w:val="none" w:sz="0" w:space="0" w:color="auto"/>
            <w:right w:val="none" w:sz="0" w:space="0" w:color="auto"/>
          </w:divBdr>
        </w:div>
      </w:divsChild>
    </w:div>
    <w:div w:id="1372195125">
      <w:bodyDiv w:val="1"/>
      <w:marLeft w:val="0"/>
      <w:marRight w:val="0"/>
      <w:marTop w:val="0"/>
      <w:marBottom w:val="0"/>
      <w:divBdr>
        <w:top w:val="none" w:sz="0" w:space="0" w:color="auto"/>
        <w:left w:val="none" w:sz="0" w:space="0" w:color="auto"/>
        <w:bottom w:val="none" w:sz="0" w:space="0" w:color="auto"/>
        <w:right w:val="none" w:sz="0" w:space="0" w:color="auto"/>
      </w:divBdr>
    </w:div>
    <w:div w:id="1454858560">
      <w:bodyDiv w:val="1"/>
      <w:marLeft w:val="0"/>
      <w:marRight w:val="0"/>
      <w:marTop w:val="0"/>
      <w:marBottom w:val="0"/>
      <w:divBdr>
        <w:top w:val="none" w:sz="0" w:space="0" w:color="auto"/>
        <w:left w:val="none" w:sz="0" w:space="0" w:color="auto"/>
        <w:bottom w:val="none" w:sz="0" w:space="0" w:color="auto"/>
        <w:right w:val="none" w:sz="0" w:space="0" w:color="auto"/>
      </w:divBdr>
      <w:divsChild>
        <w:div w:id="806048341">
          <w:marLeft w:val="0"/>
          <w:marRight w:val="0"/>
          <w:marTop w:val="0"/>
          <w:marBottom w:val="0"/>
          <w:divBdr>
            <w:top w:val="none" w:sz="0" w:space="0" w:color="auto"/>
            <w:left w:val="none" w:sz="0" w:space="0" w:color="auto"/>
            <w:bottom w:val="none" w:sz="0" w:space="0" w:color="auto"/>
            <w:right w:val="none" w:sz="0" w:space="0" w:color="auto"/>
          </w:divBdr>
        </w:div>
        <w:div w:id="1964844544">
          <w:marLeft w:val="0"/>
          <w:marRight w:val="0"/>
          <w:marTop w:val="0"/>
          <w:marBottom w:val="0"/>
          <w:divBdr>
            <w:top w:val="none" w:sz="0" w:space="0" w:color="auto"/>
            <w:left w:val="none" w:sz="0" w:space="0" w:color="auto"/>
            <w:bottom w:val="none" w:sz="0" w:space="0" w:color="auto"/>
            <w:right w:val="none" w:sz="0" w:space="0" w:color="auto"/>
          </w:divBdr>
          <w:divsChild>
            <w:div w:id="1177504116">
              <w:marLeft w:val="0"/>
              <w:marRight w:val="0"/>
              <w:marTop w:val="0"/>
              <w:marBottom w:val="0"/>
              <w:divBdr>
                <w:top w:val="none" w:sz="0" w:space="0" w:color="auto"/>
                <w:left w:val="none" w:sz="0" w:space="0" w:color="auto"/>
                <w:bottom w:val="none" w:sz="0" w:space="0" w:color="auto"/>
                <w:right w:val="none" w:sz="0" w:space="0" w:color="auto"/>
              </w:divBdr>
              <w:divsChild>
                <w:div w:id="1916745333">
                  <w:marLeft w:val="0"/>
                  <w:marRight w:val="0"/>
                  <w:marTop w:val="0"/>
                  <w:marBottom w:val="0"/>
                  <w:divBdr>
                    <w:top w:val="none" w:sz="0" w:space="0" w:color="auto"/>
                    <w:left w:val="none" w:sz="0" w:space="0" w:color="auto"/>
                    <w:bottom w:val="none" w:sz="0" w:space="0" w:color="auto"/>
                    <w:right w:val="none" w:sz="0" w:space="0" w:color="auto"/>
                  </w:divBdr>
                  <w:divsChild>
                    <w:div w:id="735905471">
                      <w:marLeft w:val="0"/>
                      <w:marRight w:val="0"/>
                      <w:marTop w:val="0"/>
                      <w:marBottom w:val="0"/>
                      <w:divBdr>
                        <w:top w:val="none" w:sz="0" w:space="0" w:color="auto"/>
                        <w:left w:val="none" w:sz="0" w:space="0" w:color="auto"/>
                        <w:bottom w:val="none" w:sz="0" w:space="0" w:color="auto"/>
                        <w:right w:val="none" w:sz="0" w:space="0" w:color="auto"/>
                      </w:divBdr>
                    </w:div>
                    <w:div w:id="123327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397908">
      <w:bodyDiv w:val="1"/>
      <w:marLeft w:val="0"/>
      <w:marRight w:val="0"/>
      <w:marTop w:val="0"/>
      <w:marBottom w:val="0"/>
      <w:divBdr>
        <w:top w:val="none" w:sz="0" w:space="0" w:color="auto"/>
        <w:left w:val="none" w:sz="0" w:space="0" w:color="auto"/>
        <w:bottom w:val="none" w:sz="0" w:space="0" w:color="auto"/>
        <w:right w:val="none" w:sz="0" w:space="0" w:color="auto"/>
      </w:divBdr>
    </w:div>
    <w:div w:id="1524443695">
      <w:bodyDiv w:val="1"/>
      <w:marLeft w:val="0"/>
      <w:marRight w:val="0"/>
      <w:marTop w:val="0"/>
      <w:marBottom w:val="0"/>
      <w:divBdr>
        <w:top w:val="none" w:sz="0" w:space="0" w:color="auto"/>
        <w:left w:val="none" w:sz="0" w:space="0" w:color="auto"/>
        <w:bottom w:val="none" w:sz="0" w:space="0" w:color="auto"/>
        <w:right w:val="none" w:sz="0" w:space="0" w:color="auto"/>
      </w:divBdr>
    </w:div>
    <w:div w:id="1524972551">
      <w:bodyDiv w:val="1"/>
      <w:marLeft w:val="0"/>
      <w:marRight w:val="0"/>
      <w:marTop w:val="0"/>
      <w:marBottom w:val="0"/>
      <w:divBdr>
        <w:top w:val="none" w:sz="0" w:space="0" w:color="auto"/>
        <w:left w:val="none" w:sz="0" w:space="0" w:color="auto"/>
        <w:bottom w:val="none" w:sz="0" w:space="0" w:color="auto"/>
        <w:right w:val="none" w:sz="0" w:space="0" w:color="auto"/>
      </w:divBdr>
    </w:div>
    <w:div w:id="2045935172">
      <w:bodyDiv w:val="1"/>
      <w:marLeft w:val="0"/>
      <w:marRight w:val="0"/>
      <w:marTop w:val="0"/>
      <w:marBottom w:val="0"/>
      <w:divBdr>
        <w:top w:val="none" w:sz="0" w:space="0" w:color="auto"/>
        <w:left w:val="none" w:sz="0" w:space="0" w:color="auto"/>
        <w:bottom w:val="none" w:sz="0" w:space="0" w:color="auto"/>
        <w:right w:val="none" w:sz="0" w:space="0" w:color="auto"/>
      </w:divBdr>
    </w:div>
    <w:div w:id="210279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13" Type="http://schemas.openxmlformats.org/officeDocument/2006/relationships/hyperlink" Target="https://www.ons.gov.uk/peoplepopulationandcommunity/populationandmigration/populationprojections/datasets/householdprojectionsforengland" TargetMode="External"/><Relationship Id="rId18" Type="http://schemas.openxmlformats.org/officeDocument/2006/relationships/hyperlink" Target="https://assets.publishing.service.gov.uk/media/5f18138ce90e0745689400f2/EHS_2018-19_Life_Course_Report.pdf" TargetMode="External"/><Relationship Id="rId26" Type="http://schemas.openxmlformats.org/officeDocument/2006/relationships/hyperlink" Target="https://view.officeapps.live.com/op/view.aspx?src=https%3A%2F%2Fassets.publishing.service.gov.uk%2Fmedia%2F62c6a6f7e90e077487746f34%2FEHS20-21_Older_People_s_Housing_-_Ch2_-_Tables.ods&amp;wdOrigin=BROWSELINK" TargetMode="External"/><Relationship Id="rId3" Type="http://schemas.openxmlformats.org/officeDocument/2006/relationships/hyperlink" Target="https://www.instituteofhealthequity.org/resources-reports/the-health-impacts-of-cold-homes-and-fuel-poverty/the-health-impacts-of-cold-homes-and-fuel-poverty.pdf" TargetMode="External"/><Relationship Id="rId21" Type="http://schemas.openxmlformats.org/officeDocument/2006/relationships/hyperlink" Target="https://www.housinglin.org.uk/_assets/Resources/Housing/OtherOrganisation/11756-AgeFriendly-Report-FINALpdf.pdf" TargetMode="External"/><Relationship Id="rId34" Type="http://schemas.openxmlformats.org/officeDocument/2006/relationships/hyperlink" Target="https://www.ageuk.org.uk/globalassets/age-uk/documents/reports-and-publications/reports-and-briefings/health--wellbeing/disabled-facilities-grant/the-disabled-facilities-grant-a-step-change-improving-delivery-of-the-disabled-facilities-grant.pdf" TargetMode="External"/><Relationship Id="rId7" Type="http://schemas.openxmlformats.org/officeDocument/2006/relationships/hyperlink" Target="https://ageing-better.org.uk/news/half-over-50s-who-want-home-renovations-are-unable-afford-them" TargetMode="External"/><Relationship Id="rId12" Type="http://schemas.openxmlformats.org/officeDocument/2006/relationships/hyperlink" Target="https://www.gov.uk/government/statistics/social-housing-lettings-in-england-april-2022-to-march-2023/social-housing-lettings-in-england-tenants-april-2022-to-march-2023" TargetMode="External"/><Relationship Id="rId17" Type="http://schemas.openxmlformats.org/officeDocument/2006/relationships/hyperlink" Target="https://policyexchange.org.uk/wp-content/uploads/2018/11/Building-for-the-Baby-Boomers-Jack-Airey-Policy-Exchange-December-2018.pdf" TargetMode="External"/><Relationship Id="rId25" Type="http://schemas.openxmlformats.org/officeDocument/2006/relationships/hyperlink" Target="https://www.foundations.uk.com/wp-content/uploads/2022/03/HOUSING-ASSOCIATIONS-AND-HOME-ADAPTATIONS-small.pdf" TargetMode="External"/><Relationship Id="rId33" Type="http://schemas.openxmlformats.org/officeDocument/2006/relationships/hyperlink" Target="https://assets.publishing.service.gov.uk/media/5c0e443440f0b60c2c1c78b7/DFG_Review_2018_Summary.pdf" TargetMode="External"/><Relationship Id="rId2" Type="http://schemas.openxmlformats.org/officeDocument/2006/relationships/hyperlink" Target="https://www.ageuk.org.uk/discover/2018/longer-tenancies-older-private-renters/" TargetMode="External"/><Relationship Id="rId16" Type="http://schemas.openxmlformats.org/officeDocument/2006/relationships/hyperlink" Target="https://www.housinglin.org.uk/_assets/Resources/Housing/OtherOrganisation/ILC_Downsizing_Report.pdf" TargetMode="External"/><Relationship Id="rId20" Type="http://schemas.openxmlformats.org/officeDocument/2006/relationships/hyperlink" Target="https://www.cchpr.landecon.cam.ac.uk/system/files/documents/DownloadTemplate_4.pdf" TargetMode="External"/><Relationship Id="rId29" Type="http://schemas.openxmlformats.org/officeDocument/2006/relationships/hyperlink" Target="https://www.pensionspolicyinstitute.org.uk/media/fjgla1kv/202311-the-uk-pensions-framework-final2.pdf" TargetMode="External"/><Relationship Id="rId1" Type="http://schemas.openxmlformats.org/officeDocument/2006/relationships/hyperlink" Target="https://www.ons.gov.uk/peoplepopulationandcommunity/populationandmigration/populationprojections/datasets/householdprojectionsforengland" TargetMode="External"/><Relationship Id="rId6" Type="http://schemas.openxmlformats.org/officeDocument/2006/relationships/hyperlink" Target="https://www.independentage.org/hidden-renters-report?_gl=1*u18rmm*_up*MQ..&amp;gclid=EAIaIQobChMI6srbitiKhgMV8mlBAh3MOQ7YEAAYASAAEgKQS_D_BwE" TargetMode="External"/><Relationship Id="rId11" Type="http://schemas.openxmlformats.org/officeDocument/2006/relationships/hyperlink" Target="https://www.ons.gov.uk/peoplepopulationandcommunity/householdcharacteristics" TargetMode="External"/><Relationship Id="rId24" Type="http://schemas.openxmlformats.org/officeDocument/2006/relationships/hyperlink" Target="https://www.independentage.org/hidden-renters-report?_gl=1*u18rmm*_up*MQ..&amp;gclid=EAIaIQobChMI6srbitiKhgMV8mlBAh3MOQ7YEAAYASAAEgKQS_D_BwE" TargetMode="External"/><Relationship Id="rId32" Type="http://schemas.openxmlformats.org/officeDocument/2006/relationships/hyperlink" Target="https://assets.publishing.service.gov.uk/media/5a7968b740f0b63d72fc5926/138355.pdf" TargetMode="External"/><Relationship Id="rId5" Type="http://schemas.openxmlformats.org/officeDocument/2006/relationships/hyperlink" Target="https://www.ons.gov.uk/peoplepopulationandcommunity/birthsdeathsandmarriages/ageing/articles/livinglonger/implicationsofhousingtenureinlaterlife" TargetMode="External"/><Relationship Id="rId15" Type="http://schemas.openxmlformats.org/officeDocument/2006/relationships/hyperlink" Target="https://www.gov.uk/government/statistics/english-housing-survey-2021-to-2022-household-moves-fact-sheet/english-housing-survey-2021-to-2022-household-moves-fact-sheet" TargetMode="External"/><Relationship Id="rId23" Type="http://schemas.openxmlformats.org/officeDocument/2006/relationships/hyperlink" Target="https://www.nhbc.co.uk/binaries/content/assets/nhbc/foundation/moving-insights-from-the-over-55s.pdf" TargetMode="External"/><Relationship Id="rId28" Type="http://schemas.openxmlformats.org/officeDocument/2006/relationships/hyperlink" Target="https://www.ons.gov.uk/peoplepopulationandcommunity/birthsdeathsandmarriages/ageing/articles/livinglonger/implicationsofhousingtenureinlaterlife" TargetMode="External"/><Relationship Id="rId36" Type="http://schemas.openxmlformats.org/officeDocument/2006/relationships/hyperlink" Target="https://assets.publishing.service.gov.uk/media/62c5a14bd3bf7f3001198577/EHS_Older_people_s_housing_2020-21.pdf" TargetMode="External"/><Relationship Id="rId10" Type="http://schemas.openxmlformats.org/officeDocument/2006/relationships/hyperlink" Target="https://www.ons.gov.uk/peoplepopulationandcommunity/culturalidentity/ethnicity/datasets/ethnicgroupbyhousingtenureandoccupancyratingenglandandwalescensus2021" TargetMode="External"/><Relationship Id="rId19" Type="http://schemas.openxmlformats.org/officeDocument/2006/relationships/hyperlink" Target="https://www.cchpr.landecon.cam.ac.uk/system/files/documents/DownloadTemplate_4.pdf" TargetMode="External"/><Relationship Id="rId31" Type="http://schemas.openxmlformats.org/officeDocument/2006/relationships/hyperlink" Target="https://assets.publishing.service.gov.uk/media/5f044f27e90e075c53dfcf01/2018-19_EHS_Adaptations_and_Accessability_Fact_Sheet.pdf" TargetMode="External"/><Relationship Id="rId4" Type="http://schemas.openxmlformats.org/officeDocument/2006/relationships/hyperlink" Target="https://ageing-better.org.uk/blogs/nations-housing-crisis-contributing-poverty" TargetMode="External"/><Relationship Id="rId9" Type="http://schemas.openxmlformats.org/officeDocument/2006/relationships/hyperlink" Target="https://view.officeapps.live.com/op/view.aspx?src=https%3A%2F%2Fassets.publishing.service.gov.uk%2Fmedia%2F62c6a6f7e90e077487746f34%2FEHS20-21_Older_People_s_Housing_-_Ch2_-_Tables.ods&amp;wdOrigin=BROWSELINK" TargetMode="External"/><Relationship Id="rId14" Type="http://schemas.openxmlformats.org/officeDocument/2006/relationships/hyperlink" Target="https://www.carersuk.org/press-releases/unpaid-care-in-england-and-wales-valued-at-445-million-per-day/" TargetMode="External"/><Relationship Id="rId22" Type="http://schemas.openxmlformats.org/officeDocument/2006/relationships/hyperlink" Target="https://www.cchpr.landecon.cam.ac.uk/system/files/documents/DownloadTemplate_4.pdf" TargetMode="External"/><Relationship Id="rId27" Type="http://schemas.openxmlformats.org/officeDocument/2006/relationships/hyperlink" Target="https://www.gov.uk/government/statistics/english-housing-survey-2021-to-2022-private-rented-sector/english-housing-survey-2021-to-2022-private-rented-sector" TargetMode="External"/><Relationship Id="rId30" Type="http://schemas.openxmlformats.org/officeDocument/2006/relationships/hyperlink" Target="https://www.habinteg.org.uk/localplans/" TargetMode="External"/><Relationship Id="rId35" Type="http://schemas.openxmlformats.org/officeDocument/2006/relationships/hyperlink" Target="https://ageing-better.org.uk/news/half-over-50s-who-want-home-renovations-are-unable-afford-them" TargetMode="External"/><Relationship Id="rId8" Type="http://schemas.openxmlformats.org/officeDocument/2006/relationships/hyperlink" Target="https://ageing-better.org.uk/homes-state-ageing-202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ge UK Theme">
  <a:themeElements>
    <a:clrScheme name="Age UK Colours for Powerpoint">
      <a:dk1>
        <a:srgbClr val="000000"/>
      </a:dk1>
      <a:lt1>
        <a:srgbClr val="FFFFFF"/>
      </a:lt1>
      <a:dk2>
        <a:srgbClr val="007DAD"/>
      </a:dk2>
      <a:lt2>
        <a:srgbClr val="FFFFFF"/>
      </a:lt2>
      <a:accent1>
        <a:srgbClr val="141760"/>
      </a:accent1>
      <a:accent2>
        <a:srgbClr val="00AEEF"/>
      </a:accent2>
      <a:accent3>
        <a:srgbClr val="9E005E"/>
      </a:accent3>
      <a:accent4>
        <a:srgbClr val="55225D"/>
      </a:accent4>
      <a:accent5>
        <a:srgbClr val="CB007A"/>
      </a:accent5>
      <a:accent6>
        <a:srgbClr val="73498C"/>
      </a:accent6>
      <a:hlink>
        <a:srgbClr val="00AEEF"/>
      </a:hlink>
      <a:folHlink>
        <a:srgbClr val="007DAD"/>
      </a:folHlink>
    </a:clrScheme>
    <a:fontScheme name="Age UK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ge UK Theme" id="{425197A8-5BC1-4673-BA38-1E202089B084}" vid="{23CA80E6-3B9C-4364-AB14-4C50A8BC049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dfc7401-b932-4f93-9f1b-95e867b0f13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492462A872934293063BDF068446BE" ma:contentTypeVersion="14" ma:contentTypeDescription="Create a new document." ma:contentTypeScope="" ma:versionID="dd1f1da31cc5353db4680c06e92da776">
  <xsd:schema xmlns:xsd="http://www.w3.org/2001/XMLSchema" xmlns:xs="http://www.w3.org/2001/XMLSchema" xmlns:p="http://schemas.microsoft.com/office/2006/metadata/properties" xmlns:ns3="7dfc7401-b932-4f93-9f1b-95e867b0f13b" xmlns:ns4="6ebfb6f1-0f9a-4d4f-8199-b9a0da1ebabb" targetNamespace="http://schemas.microsoft.com/office/2006/metadata/properties" ma:root="true" ma:fieldsID="b9124b7bd6fbf9229ea95e934bcca2ac" ns3:_="" ns4:_="">
    <xsd:import namespace="7dfc7401-b932-4f93-9f1b-95e867b0f13b"/>
    <xsd:import namespace="6ebfb6f1-0f9a-4d4f-8199-b9a0da1eba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c7401-b932-4f93-9f1b-95e867b0f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bfb6f1-0f9a-4d4f-8199-b9a0da1eba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C2046-0589-4BC4-92EC-E1048F9DF90C}">
  <ds:schemaRefs>
    <ds:schemaRef ds:uri="http://schemas.microsoft.com/sharepoint/v3/contenttype/forms"/>
  </ds:schemaRefs>
</ds:datastoreItem>
</file>

<file path=customXml/itemProps2.xml><?xml version="1.0" encoding="utf-8"?>
<ds:datastoreItem xmlns:ds="http://schemas.openxmlformats.org/officeDocument/2006/customXml" ds:itemID="{C24C37E8-1F1B-4009-AF9F-99D030FC470B}">
  <ds:schemaRefs>
    <ds:schemaRef ds:uri="http://schemas.openxmlformats.org/officeDocument/2006/bibliography"/>
  </ds:schemaRefs>
</ds:datastoreItem>
</file>

<file path=customXml/itemProps3.xml><?xml version="1.0" encoding="utf-8"?>
<ds:datastoreItem xmlns:ds="http://schemas.openxmlformats.org/officeDocument/2006/customXml" ds:itemID="{233FF9C8-E317-40A0-B86D-3F2F1C0AAC30}">
  <ds:schemaRefs>
    <ds:schemaRef ds:uri="http://schemas.microsoft.com/office/2006/metadata/properties"/>
    <ds:schemaRef ds:uri="http://schemas.microsoft.com/office/infopath/2007/PartnerControls"/>
    <ds:schemaRef ds:uri="7dfc7401-b932-4f93-9f1b-95e867b0f13b"/>
  </ds:schemaRefs>
</ds:datastoreItem>
</file>

<file path=customXml/itemProps4.xml><?xml version="1.0" encoding="utf-8"?>
<ds:datastoreItem xmlns:ds="http://schemas.openxmlformats.org/officeDocument/2006/customXml" ds:itemID="{FB8E312C-FA9A-488C-956D-53C823311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c7401-b932-4f93-9f1b-95e867b0f13b"/>
    <ds:schemaRef ds:uri="6ebfb6f1-0f9a-4d4f-8199-b9a0da1eb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2972</Words>
  <Characters>16944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19877</CharactersWithSpaces>
  <SharedDoc>false</SharedDoc>
  <HLinks>
    <vt:vector size="216" baseType="variant">
      <vt:variant>
        <vt:i4>6488093</vt:i4>
      </vt:variant>
      <vt:variant>
        <vt:i4>105</vt:i4>
      </vt:variant>
      <vt:variant>
        <vt:i4>0</vt:i4>
      </vt:variant>
      <vt:variant>
        <vt:i4>5</vt:i4>
      </vt:variant>
      <vt:variant>
        <vt:lpwstr>https://assets.publishing.service.gov.uk/media/62c5a14bd3bf7f3001198577/EHS_Older_people_s_housing_2020-21.pdf</vt:lpwstr>
      </vt:variant>
      <vt:variant>
        <vt:lpwstr/>
      </vt:variant>
      <vt:variant>
        <vt:i4>4915266</vt:i4>
      </vt:variant>
      <vt:variant>
        <vt:i4>102</vt:i4>
      </vt:variant>
      <vt:variant>
        <vt:i4>0</vt:i4>
      </vt:variant>
      <vt:variant>
        <vt:i4>5</vt:i4>
      </vt:variant>
      <vt:variant>
        <vt:lpwstr>https://ageing-better.org.uk/news/half-over-50s-who-want-home-renovations-are-unable-afford-them</vt:lpwstr>
      </vt:variant>
      <vt:variant>
        <vt:lpwstr/>
      </vt:variant>
      <vt:variant>
        <vt:i4>6160401</vt:i4>
      </vt:variant>
      <vt:variant>
        <vt:i4>99</vt:i4>
      </vt:variant>
      <vt:variant>
        <vt:i4>0</vt:i4>
      </vt:variant>
      <vt:variant>
        <vt:i4>5</vt:i4>
      </vt:variant>
      <vt:variant>
        <vt:lpwstr>https://www.ageuk.org.uk/globalassets/age-uk/documents/reports-and-publications/reports-and-briefings/health--wellbeing/disabled-facilities-grant/the-disabled-facilities-grant-a-step-change-improving-delivery-of-the-disabled-facilities-grant.pdf</vt:lpwstr>
      </vt:variant>
      <vt:variant>
        <vt:lpwstr/>
      </vt:variant>
      <vt:variant>
        <vt:i4>8257558</vt:i4>
      </vt:variant>
      <vt:variant>
        <vt:i4>96</vt:i4>
      </vt:variant>
      <vt:variant>
        <vt:i4>0</vt:i4>
      </vt:variant>
      <vt:variant>
        <vt:i4>5</vt:i4>
      </vt:variant>
      <vt:variant>
        <vt:lpwstr>https://assets.publishing.service.gov.uk/media/5c0e443440f0b60c2c1c78b7/DFG_Review_2018_Summary.pdf</vt:lpwstr>
      </vt:variant>
      <vt:variant>
        <vt:lpwstr/>
      </vt:variant>
      <vt:variant>
        <vt:i4>3407908</vt:i4>
      </vt:variant>
      <vt:variant>
        <vt:i4>93</vt:i4>
      </vt:variant>
      <vt:variant>
        <vt:i4>0</vt:i4>
      </vt:variant>
      <vt:variant>
        <vt:i4>5</vt:i4>
      </vt:variant>
      <vt:variant>
        <vt:lpwstr>https://assets.publishing.service.gov.uk/media/5a7968b740f0b63d72fc5926/138355.pdf</vt:lpwstr>
      </vt:variant>
      <vt:variant>
        <vt:lpwstr/>
      </vt:variant>
      <vt:variant>
        <vt:i4>3735660</vt:i4>
      </vt:variant>
      <vt:variant>
        <vt:i4>90</vt:i4>
      </vt:variant>
      <vt:variant>
        <vt:i4>0</vt:i4>
      </vt:variant>
      <vt:variant>
        <vt:i4>5</vt:i4>
      </vt:variant>
      <vt:variant>
        <vt:lpwstr>https://assets.publishing.service.gov.uk/media/5f044f27e90e075c53dfcf01/2018-19_EHS_Adaptations_and_Accessability_Fact_Sheet.pdf</vt:lpwstr>
      </vt:variant>
      <vt:variant>
        <vt:lpwstr/>
      </vt:variant>
      <vt:variant>
        <vt:i4>7143481</vt:i4>
      </vt:variant>
      <vt:variant>
        <vt:i4>87</vt:i4>
      </vt:variant>
      <vt:variant>
        <vt:i4>0</vt:i4>
      </vt:variant>
      <vt:variant>
        <vt:i4>5</vt:i4>
      </vt:variant>
      <vt:variant>
        <vt:lpwstr>https://www.habinteg.org.uk/localplans/</vt:lpwstr>
      </vt:variant>
      <vt:variant>
        <vt:lpwstr/>
      </vt:variant>
      <vt:variant>
        <vt:i4>4915214</vt:i4>
      </vt:variant>
      <vt:variant>
        <vt:i4>84</vt:i4>
      </vt:variant>
      <vt:variant>
        <vt:i4>0</vt:i4>
      </vt:variant>
      <vt:variant>
        <vt:i4>5</vt:i4>
      </vt:variant>
      <vt:variant>
        <vt:lpwstr>https://www.pensionspolicyinstitute.org.uk/media/fjgla1kv/202311-the-uk-pensions-framework-final2.pdf</vt:lpwstr>
      </vt:variant>
      <vt:variant>
        <vt:lpwstr/>
      </vt:variant>
      <vt:variant>
        <vt:i4>1048577</vt:i4>
      </vt:variant>
      <vt:variant>
        <vt:i4>81</vt:i4>
      </vt:variant>
      <vt:variant>
        <vt:i4>0</vt:i4>
      </vt:variant>
      <vt:variant>
        <vt:i4>5</vt:i4>
      </vt:variant>
      <vt:variant>
        <vt:lpwstr>https://www.ons.gov.uk/peoplepopulationandcommunity/birthsdeathsandmarriages/ageing/articles/livinglonger/implicationsofhousingtenureinlaterlife</vt:lpwstr>
      </vt:variant>
      <vt:variant>
        <vt:lpwstr/>
      </vt:variant>
      <vt:variant>
        <vt:i4>7929971</vt:i4>
      </vt:variant>
      <vt:variant>
        <vt:i4>78</vt:i4>
      </vt:variant>
      <vt:variant>
        <vt:i4>0</vt:i4>
      </vt:variant>
      <vt:variant>
        <vt:i4>5</vt:i4>
      </vt:variant>
      <vt:variant>
        <vt:lpwstr>https://www.gov.uk/government/statistics/english-housing-survey-2021-to-2022-private-rented-sector/english-housing-survey-2021-to-2022-private-rented-sector</vt:lpwstr>
      </vt:variant>
      <vt:variant>
        <vt:lpwstr>housing-costs-and-affordability</vt:lpwstr>
      </vt:variant>
      <vt:variant>
        <vt:i4>4587595</vt:i4>
      </vt:variant>
      <vt:variant>
        <vt:i4>75</vt:i4>
      </vt:variant>
      <vt:variant>
        <vt:i4>0</vt:i4>
      </vt:variant>
      <vt:variant>
        <vt:i4>5</vt:i4>
      </vt:variant>
      <vt:variant>
        <vt:lpwstr>https://view.officeapps.live.com/op/view.aspx?src=https%3A%2F%2Fassets.publishing.service.gov.uk%2Fmedia%2F62c6a6f7e90e077487746f34%2FEHS20-21_Older_People_s_Housing_-_Ch2_-_Tables.ods&amp;wdOrigin=BROWSELINK</vt:lpwstr>
      </vt:variant>
      <vt:variant>
        <vt:lpwstr/>
      </vt:variant>
      <vt:variant>
        <vt:i4>5636173</vt:i4>
      </vt:variant>
      <vt:variant>
        <vt:i4>72</vt:i4>
      </vt:variant>
      <vt:variant>
        <vt:i4>0</vt:i4>
      </vt:variant>
      <vt:variant>
        <vt:i4>5</vt:i4>
      </vt:variant>
      <vt:variant>
        <vt:lpwstr>https://www.foundations.uk.com/wp-content/uploads/2022/03/HOUSING-ASSOCIATIONS-AND-HOME-ADAPTATIONS-small.pdf</vt:lpwstr>
      </vt:variant>
      <vt:variant>
        <vt:lpwstr/>
      </vt:variant>
      <vt:variant>
        <vt:i4>3276855</vt:i4>
      </vt:variant>
      <vt:variant>
        <vt:i4>69</vt:i4>
      </vt:variant>
      <vt:variant>
        <vt:i4>0</vt:i4>
      </vt:variant>
      <vt:variant>
        <vt:i4>5</vt:i4>
      </vt:variant>
      <vt:variant>
        <vt:lpwstr>https://www.independentage.org/hidden-renters-report?_gl=1*u18rmm*_up*MQ..&amp;gclid=EAIaIQobChMI6srbitiKhgMV8mlBAh3MOQ7YEAAYASAAEgKQS_D_BwE</vt:lpwstr>
      </vt:variant>
      <vt:variant>
        <vt:lpwstr/>
      </vt:variant>
      <vt:variant>
        <vt:i4>5963851</vt:i4>
      </vt:variant>
      <vt:variant>
        <vt:i4>66</vt:i4>
      </vt:variant>
      <vt:variant>
        <vt:i4>0</vt:i4>
      </vt:variant>
      <vt:variant>
        <vt:i4>5</vt:i4>
      </vt:variant>
      <vt:variant>
        <vt:lpwstr>https://www.nhbc.co.uk/binaries/content/assets/nhbc/foundation/moving-insights-from-the-over-55s.pdf</vt:lpwstr>
      </vt:variant>
      <vt:variant>
        <vt:lpwstr/>
      </vt:variant>
      <vt:variant>
        <vt:i4>2293773</vt:i4>
      </vt:variant>
      <vt:variant>
        <vt:i4>63</vt:i4>
      </vt:variant>
      <vt:variant>
        <vt:i4>0</vt:i4>
      </vt:variant>
      <vt:variant>
        <vt:i4>5</vt:i4>
      </vt:variant>
      <vt:variant>
        <vt:lpwstr>https://www.cchpr.landecon.cam.ac.uk/system/files/documents/DownloadTemplate_4.pdf</vt:lpwstr>
      </vt:variant>
      <vt:variant>
        <vt:lpwstr/>
      </vt:variant>
      <vt:variant>
        <vt:i4>2490378</vt:i4>
      </vt:variant>
      <vt:variant>
        <vt:i4>60</vt:i4>
      </vt:variant>
      <vt:variant>
        <vt:i4>0</vt:i4>
      </vt:variant>
      <vt:variant>
        <vt:i4>5</vt:i4>
      </vt:variant>
      <vt:variant>
        <vt:lpwstr>https://www.housinglin.org.uk/_assets/Resources/Housing/OtherOrganisation/11756-AgeFriendly-Report-FINALpdf.pdf</vt:lpwstr>
      </vt:variant>
      <vt:variant>
        <vt:lpwstr/>
      </vt:variant>
      <vt:variant>
        <vt:i4>2293773</vt:i4>
      </vt:variant>
      <vt:variant>
        <vt:i4>57</vt:i4>
      </vt:variant>
      <vt:variant>
        <vt:i4>0</vt:i4>
      </vt:variant>
      <vt:variant>
        <vt:i4>5</vt:i4>
      </vt:variant>
      <vt:variant>
        <vt:lpwstr>https://www.cchpr.landecon.cam.ac.uk/system/files/documents/DownloadTemplate_4.pdf</vt:lpwstr>
      </vt:variant>
      <vt:variant>
        <vt:lpwstr/>
      </vt:variant>
      <vt:variant>
        <vt:i4>2293773</vt:i4>
      </vt:variant>
      <vt:variant>
        <vt:i4>54</vt:i4>
      </vt:variant>
      <vt:variant>
        <vt:i4>0</vt:i4>
      </vt:variant>
      <vt:variant>
        <vt:i4>5</vt:i4>
      </vt:variant>
      <vt:variant>
        <vt:lpwstr>https://www.cchpr.landecon.cam.ac.uk/system/files/documents/DownloadTemplate_4.pdf</vt:lpwstr>
      </vt:variant>
      <vt:variant>
        <vt:lpwstr/>
      </vt:variant>
      <vt:variant>
        <vt:i4>1966145</vt:i4>
      </vt:variant>
      <vt:variant>
        <vt:i4>51</vt:i4>
      </vt:variant>
      <vt:variant>
        <vt:i4>0</vt:i4>
      </vt:variant>
      <vt:variant>
        <vt:i4>5</vt:i4>
      </vt:variant>
      <vt:variant>
        <vt:lpwstr>https://assets.publishing.service.gov.uk/media/5f18138ce90e0745689400f2/EHS_2018-19_Life_Course_Report.pdf</vt:lpwstr>
      </vt:variant>
      <vt:variant>
        <vt:lpwstr/>
      </vt:variant>
      <vt:variant>
        <vt:i4>8061045</vt:i4>
      </vt:variant>
      <vt:variant>
        <vt:i4>48</vt:i4>
      </vt:variant>
      <vt:variant>
        <vt:i4>0</vt:i4>
      </vt:variant>
      <vt:variant>
        <vt:i4>5</vt:i4>
      </vt:variant>
      <vt:variant>
        <vt:lpwstr>https://policyexchange.org.uk/wp-content/uploads/2018/11/Building-for-the-Baby-Boomers-Jack-Airey-Policy-Exchange-December-2018.pdf</vt:lpwstr>
      </vt:variant>
      <vt:variant>
        <vt:lpwstr/>
      </vt:variant>
      <vt:variant>
        <vt:i4>1245224</vt:i4>
      </vt:variant>
      <vt:variant>
        <vt:i4>45</vt:i4>
      </vt:variant>
      <vt:variant>
        <vt:i4>0</vt:i4>
      </vt:variant>
      <vt:variant>
        <vt:i4>5</vt:i4>
      </vt:variant>
      <vt:variant>
        <vt:lpwstr>https://www.housinglin.org.uk/_assets/Resources/Housing/OtherOrganisation/ILC_Downsizing_Report.pdf</vt:lpwstr>
      </vt:variant>
      <vt:variant>
        <vt:lpwstr/>
      </vt:variant>
      <vt:variant>
        <vt:i4>7864447</vt:i4>
      </vt:variant>
      <vt:variant>
        <vt:i4>42</vt:i4>
      </vt:variant>
      <vt:variant>
        <vt:i4>0</vt:i4>
      </vt:variant>
      <vt:variant>
        <vt:i4>5</vt:i4>
      </vt:variant>
      <vt:variant>
        <vt:lpwstr>https://www.gov.uk/government/statistics/english-housing-survey-2021-to-2022-household-moves-fact-sheet/english-housing-survey-2021-to-2022-household-moves-fact-sheet</vt:lpwstr>
      </vt:variant>
      <vt:variant>
        <vt:lpwstr>:~:text=22%%20of%20households%20have%20lived%20in%20their%20current%20home%20for#:~:text=22%%20of%20households%20have%20lived%20in%20their%20current%20home%20for</vt:lpwstr>
      </vt:variant>
      <vt:variant>
        <vt:i4>6422632</vt:i4>
      </vt:variant>
      <vt:variant>
        <vt:i4>39</vt:i4>
      </vt:variant>
      <vt:variant>
        <vt:i4>0</vt:i4>
      </vt:variant>
      <vt:variant>
        <vt:i4>5</vt:i4>
      </vt:variant>
      <vt:variant>
        <vt:lpwstr>https://www.carersuk.org/press-releases/unpaid-care-in-england-and-wales-valued-at-445-million-per-day/</vt:lpwstr>
      </vt:variant>
      <vt:variant>
        <vt:lpwstr/>
      </vt:variant>
      <vt:variant>
        <vt:i4>5570573</vt:i4>
      </vt:variant>
      <vt:variant>
        <vt:i4>36</vt:i4>
      </vt:variant>
      <vt:variant>
        <vt:i4>0</vt:i4>
      </vt:variant>
      <vt:variant>
        <vt:i4>5</vt:i4>
      </vt:variant>
      <vt:variant>
        <vt:lpwstr>https://www.ons.gov.uk/peoplepopulationandcommunity/populationandmigration/populationprojections/datasets/householdprojectionsforengland</vt:lpwstr>
      </vt:variant>
      <vt:variant>
        <vt:lpwstr/>
      </vt:variant>
      <vt:variant>
        <vt:i4>1638421</vt:i4>
      </vt:variant>
      <vt:variant>
        <vt:i4>33</vt:i4>
      </vt:variant>
      <vt:variant>
        <vt:i4>0</vt:i4>
      </vt:variant>
      <vt:variant>
        <vt:i4>5</vt:i4>
      </vt:variant>
      <vt:variant>
        <vt:lpwstr>https://www.gov.uk/government/statistics/social-housing-lettings-in-england-april-2022-to-march-2023/social-housing-lettings-in-england-tenants-april-2022-to-march-2023</vt:lpwstr>
      </vt:variant>
      <vt:variant>
        <vt:lpwstr/>
      </vt:variant>
      <vt:variant>
        <vt:i4>15</vt:i4>
      </vt:variant>
      <vt:variant>
        <vt:i4>30</vt:i4>
      </vt:variant>
      <vt:variant>
        <vt:i4>0</vt:i4>
      </vt:variant>
      <vt:variant>
        <vt:i4>5</vt:i4>
      </vt:variant>
      <vt:variant>
        <vt:lpwstr>https://www.ons.gov.uk/peoplepopulationandcommunity/householdcharacteristics</vt:lpwstr>
      </vt:variant>
      <vt:variant>
        <vt:lpwstr/>
      </vt:variant>
      <vt:variant>
        <vt:i4>5767232</vt:i4>
      </vt:variant>
      <vt:variant>
        <vt:i4>27</vt:i4>
      </vt:variant>
      <vt:variant>
        <vt:i4>0</vt:i4>
      </vt:variant>
      <vt:variant>
        <vt:i4>5</vt:i4>
      </vt:variant>
      <vt:variant>
        <vt:lpwstr>https://www.ons.gov.uk/peoplepopulationandcommunity/culturalidentity/ethnicity/datasets/ethnicgroupbyhousingtenureandoccupancyratingenglandandwalescensus2021</vt:lpwstr>
      </vt:variant>
      <vt:variant>
        <vt:lpwstr/>
      </vt:variant>
      <vt:variant>
        <vt:i4>4587595</vt:i4>
      </vt:variant>
      <vt:variant>
        <vt:i4>24</vt:i4>
      </vt:variant>
      <vt:variant>
        <vt:i4>0</vt:i4>
      </vt:variant>
      <vt:variant>
        <vt:i4>5</vt:i4>
      </vt:variant>
      <vt:variant>
        <vt:lpwstr>https://view.officeapps.live.com/op/view.aspx?src=https%3A%2F%2Fassets.publishing.service.gov.uk%2Fmedia%2F62c6a6f7e90e077487746f34%2FEHS20-21_Older_People_s_Housing_-_Ch2_-_Tables.ods&amp;wdOrigin=BROWSELINK</vt:lpwstr>
      </vt:variant>
      <vt:variant>
        <vt:lpwstr/>
      </vt:variant>
      <vt:variant>
        <vt:i4>3342384</vt:i4>
      </vt:variant>
      <vt:variant>
        <vt:i4>21</vt:i4>
      </vt:variant>
      <vt:variant>
        <vt:i4>0</vt:i4>
      </vt:variant>
      <vt:variant>
        <vt:i4>5</vt:i4>
      </vt:variant>
      <vt:variant>
        <vt:lpwstr>https://ageing-better.org.uk/homes-state-ageing-2023-4</vt:lpwstr>
      </vt:variant>
      <vt:variant>
        <vt:lpwstr>quality-of-homes</vt:lpwstr>
      </vt:variant>
      <vt:variant>
        <vt:i4>4915266</vt:i4>
      </vt:variant>
      <vt:variant>
        <vt:i4>18</vt:i4>
      </vt:variant>
      <vt:variant>
        <vt:i4>0</vt:i4>
      </vt:variant>
      <vt:variant>
        <vt:i4>5</vt:i4>
      </vt:variant>
      <vt:variant>
        <vt:lpwstr>https://ageing-better.org.uk/news/half-over-50s-who-want-home-renovations-are-unable-afford-them</vt:lpwstr>
      </vt:variant>
      <vt:variant>
        <vt:lpwstr/>
      </vt:variant>
      <vt:variant>
        <vt:i4>3276855</vt:i4>
      </vt:variant>
      <vt:variant>
        <vt:i4>15</vt:i4>
      </vt:variant>
      <vt:variant>
        <vt:i4>0</vt:i4>
      </vt:variant>
      <vt:variant>
        <vt:i4>5</vt:i4>
      </vt:variant>
      <vt:variant>
        <vt:lpwstr>https://www.independentage.org/hidden-renters-report?_gl=1*u18rmm*_up*MQ..&amp;gclid=EAIaIQobChMI6srbitiKhgMV8mlBAh3MOQ7YEAAYASAAEgKQS_D_BwE</vt:lpwstr>
      </vt:variant>
      <vt:variant>
        <vt:lpwstr/>
      </vt:variant>
      <vt:variant>
        <vt:i4>1048577</vt:i4>
      </vt:variant>
      <vt:variant>
        <vt:i4>12</vt:i4>
      </vt:variant>
      <vt:variant>
        <vt:i4>0</vt:i4>
      </vt:variant>
      <vt:variant>
        <vt:i4>5</vt:i4>
      </vt:variant>
      <vt:variant>
        <vt:lpwstr>https://www.ons.gov.uk/peoplepopulationandcommunity/birthsdeathsandmarriages/ageing/articles/livinglonger/implicationsofhousingtenureinlaterlife</vt:lpwstr>
      </vt:variant>
      <vt:variant>
        <vt:lpwstr/>
      </vt:variant>
      <vt:variant>
        <vt:i4>3342368</vt:i4>
      </vt:variant>
      <vt:variant>
        <vt:i4>9</vt:i4>
      </vt:variant>
      <vt:variant>
        <vt:i4>0</vt:i4>
      </vt:variant>
      <vt:variant>
        <vt:i4>5</vt:i4>
      </vt:variant>
      <vt:variant>
        <vt:lpwstr>https://ageing-better.org.uk/blogs/nations-housing-crisis-contributing-poverty</vt:lpwstr>
      </vt:variant>
      <vt:variant>
        <vt:lpwstr/>
      </vt:variant>
      <vt:variant>
        <vt:i4>5439578</vt:i4>
      </vt:variant>
      <vt:variant>
        <vt:i4>6</vt:i4>
      </vt:variant>
      <vt:variant>
        <vt:i4>0</vt:i4>
      </vt:variant>
      <vt:variant>
        <vt:i4>5</vt:i4>
      </vt:variant>
      <vt:variant>
        <vt:lpwstr>https://www.instituteofhealthequity.org/resources-reports/the-health-impacts-of-cold-homes-and-fuel-poverty/the-health-impacts-of-cold-homes-and-fuel-poverty.pdf</vt:lpwstr>
      </vt:variant>
      <vt:variant>
        <vt:lpwstr/>
      </vt:variant>
      <vt:variant>
        <vt:i4>1835094</vt:i4>
      </vt:variant>
      <vt:variant>
        <vt:i4>3</vt:i4>
      </vt:variant>
      <vt:variant>
        <vt:i4>0</vt:i4>
      </vt:variant>
      <vt:variant>
        <vt:i4>5</vt:i4>
      </vt:variant>
      <vt:variant>
        <vt:lpwstr>https://www.ageuk.org.uk/discover/2018/longer-tenancies-older-private-renters/</vt:lpwstr>
      </vt:variant>
      <vt:variant>
        <vt:lpwstr>:~:text=The%20possibility%20of%20being%20forced%20to%20move%20can,and%20transform%20the%20quality%20of%20their%20daily%20life.</vt:lpwstr>
      </vt:variant>
      <vt:variant>
        <vt:i4>5570573</vt:i4>
      </vt:variant>
      <vt:variant>
        <vt:i4>0</vt:i4>
      </vt:variant>
      <vt:variant>
        <vt:i4>0</vt:i4>
      </vt:variant>
      <vt:variant>
        <vt:i4>5</vt:i4>
      </vt:variant>
      <vt:variant>
        <vt:lpwstr>https://www.ons.gov.uk/peoplepopulationandcommunity/populationandmigration/populationprojections/datasets/householdprojectionsforengland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Lisabel Miles</dc:creator>
  <cp:keywords/>
  <dc:description/>
  <cp:lastModifiedBy>Lisabel Miles</cp:lastModifiedBy>
  <cp:revision>3</cp:revision>
  <dcterms:created xsi:type="dcterms:W3CDTF">2024-11-25T18:59:00Z</dcterms:created>
  <dcterms:modified xsi:type="dcterms:W3CDTF">2024-11-25T19:21:00Z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0x0101004D492462A872934293063BDF068446BE</vt:lpwstr>
  </property>
</Properties>
</file>